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2BC4" w14:textId="77777777" w:rsidR="0009197B" w:rsidRDefault="00CC6845" w:rsidP="0000236A">
      <w:pPr>
        <w:jc w:val="center"/>
        <w:rPr>
          <w:b/>
        </w:rPr>
      </w:pPr>
      <w:r>
        <w:rPr>
          <w:b/>
        </w:rPr>
        <w:t xml:space="preserve">Documento orientativo </w:t>
      </w:r>
    </w:p>
    <w:p w14:paraId="2AA7536D" w14:textId="75EE3AED" w:rsidR="0009197B" w:rsidRDefault="00CC6845" w:rsidP="0000236A">
      <w:pPr>
        <w:jc w:val="center"/>
        <w:rPr>
          <w:b/>
        </w:rPr>
      </w:pPr>
      <w:r>
        <w:rPr>
          <w:b/>
        </w:rPr>
        <w:t xml:space="preserve">sobre </w:t>
      </w:r>
      <w:r w:rsidR="00DE5808">
        <w:rPr>
          <w:b/>
        </w:rPr>
        <w:t xml:space="preserve">el desarrollo y la aplicación </w:t>
      </w:r>
    </w:p>
    <w:p w14:paraId="7F3883FC" w14:textId="70383744" w:rsidR="008C1DF0" w:rsidRDefault="00DE5808" w:rsidP="0000236A">
      <w:pPr>
        <w:jc w:val="center"/>
        <w:rPr>
          <w:b/>
        </w:rPr>
      </w:pPr>
      <w:r>
        <w:rPr>
          <w:b/>
        </w:rPr>
        <w:t>de un Sistema de Gestión Ambiental y Social</w:t>
      </w:r>
    </w:p>
    <w:p w14:paraId="362C45FF" w14:textId="77777777" w:rsidR="005C36C9" w:rsidRDefault="005C36C9" w:rsidP="00F75743">
      <w:pPr>
        <w:rPr>
          <w:b/>
        </w:rPr>
      </w:pPr>
    </w:p>
    <w:p w14:paraId="5B860D65" w14:textId="546F4648" w:rsidR="005C36C9" w:rsidRDefault="005C36C9" w:rsidP="00F75743">
      <w:r>
        <w:t>El [cliente/nombre del cliente] tiene la obligación de presentar informes [mensuales/bimensuales/trimestrales] sobre el progreso alcanzado en el desarrollo y la aplicación del Sistema de Gestión Ambiental y Social (SGAS), a partir del momento de la firma del convenio legal con la Corporación Financiera Internacional (IFC).</w:t>
      </w:r>
      <w:r w:rsidR="0004176A">
        <w:t xml:space="preserve"> </w:t>
      </w:r>
      <w:r>
        <w:t xml:space="preserve">Se solicita al cliente que aporte información acerca del procedimiento de </w:t>
      </w:r>
      <w:r w:rsidR="00D46BA1">
        <w:t xml:space="preserve">aplicación </w:t>
      </w:r>
      <w:r>
        <w:t>del SGAS, lo que comprende la capacitación del personal y el número de empleados capacitados, el desarrollo de lista</w:t>
      </w:r>
      <w:r w:rsidR="0009197B">
        <w:t>s</w:t>
      </w:r>
      <w:r>
        <w:t xml:space="preserve"> de control orientativas, la preparación de </w:t>
      </w:r>
      <w:r w:rsidR="0009197B">
        <w:t xml:space="preserve">informes anuales </w:t>
      </w:r>
      <w:r>
        <w:t xml:space="preserve">sobre el </w:t>
      </w:r>
      <w:r w:rsidR="0009197B">
        <w:t xml:space="preserve">desempeño ambiental </w:t>
      </w:r>
      <w:r>
        <w:t>(IADA) y cualquier otra información.</w:t>
      </w:r>
    </w:p>
    <w:p w14:paraId="40BCB9A7" w14:textId="77777777" w:rsidR="005C36C9" w:rsidRDefault="005C36C9" w:rsidP="00F75743"/>
    <w:p w14:paraId="232B0CF8" w14:textId="4BE80D46" w:rsidR="00227F98" w:rsidRPr="00430083" w:rsidRDefault="0009197B" w:rsidP="00F75743">
      <w:pPr>
        <w:rPr>
          <w:b/>
          <w:u w:val="single"/>
        </w:rPr>
      </w:pPr>
      <w:r>
        <w:rPr>
          <w:b/>
          <w:u w:val="single"/>
        </w:rPr>
        <w:t>Primer</w:t>
      </w:r>
      <w:r w:rsidR="00227F98">
        <w:rPr>
          <w:b/>
          <w:u w:val="single"/>
        </w:rPr>
        <w:t xml:space="preserve"> paso: Designación del personal encargado del SGAS</w:t>
      </w:r>
    </w:p>
    <w:p w14:paraId="459D3CA4" w14:textId="77777777" w:rsidR="005C36C9" w:rsidRDefault="005C36C9" w:rsidP="00F75743"/>
    <w:tbl>
      <w:tblPr>
        <w:tblStyle w:val="TableGrid"/>
        <w:tblW w:w="9626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1357"/>
        <w:gridCol w:w="1701"/>
        <w:gridCol w:w="2268"/>
        <w:gridCol w:w="1016"/>
        <w:gridCol w:w="1394"/>
      </w:tblGrid>
      <w:tr w:rsidR="00A0243E" w:rsidRPr="00227F98" w14:paraId="656860D8" w14:textId="77777777" w:rsidTr="0009197B">
        <w:tc>
          <w:tcPr>
            <w:tcW w:w="1890" w:type="dxa"/>
          </w:tcPr>
          <w:p w14:paraId="3C2C4269" w14:textId="77777777" w:rsidR="00227F98" w:rsidRPr="00227F98" w:rsidRDefault="00771833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1357" w:type="dxa"/>
          </w:tcPr>
          <w:p w14:paraId="38CF2BC5" w14:textId="77777777" w:rsidR="0009197B" w:rsidRDefault="00227F98" w:rsidP="00F75743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</w:t>
            </w:r>
          </w:p>
          <w:p w14:paraId="08FC8007" w14:textId="7ECEEC45" w:rsidR="00227F98" w:rsidRPr="00227F98" w:rsidRDefault="00227F98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de la(s) persona(s) designada(s)</w:t>
            </w:r>
          </w:p>
        </w:tc>
        <w:tc>
          <w:tcPr>
            <w:tcW w:w="1701" w:type="dxa"/>
          </w:tcPr>
          <w:p w14:paraId="01463228" w14:textId="20521D75" w:rsidR="0009197B" w:rsidRDefault="0009197B" w:rsidP="00917D24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Cargo </w:t>
            </w:r>
            <w:r w:rsidR="00227F98">
              <w:rPr>
                <w:b/>
                <w:sz w:val="20"/>
              </w:rPr>
              <w:t xml:space="preserve">actual </w:t>
            </w:r>
          </w:p>
          <w:p w14:paraId="59C843C4" w14:textId="7CFEDE8D" w:rsidR="00227F98" w:rsidRPr="00227F98" w:rsidRDefault="00227F98" w:rsidP="00917D2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en el banco </w:t>
            </w:r>
          </w:p>
        </w:tc>
        <w:tc>
          <w:tcPr>
            <w:tcW w:w="2268" w:type="dxa"/>
          </w:tcPr>
          <w:p w14:paraId="0347A10A" w14:textId="77777777" w:rsidR="00A0243E" w:rsidRDefault="00227F98" w:rsidP="00F75743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Formación académica/</w:t>
            </w:r>
          </w:p>
          <w:p w14:paraId="72DC8B05" w14:textId="0940E1FB" w:rsidR="00227F98" w:rsidRDefault="00A0243E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aptitudes/</w:t>
            </w:r>
          </w:p>
          <w:p w14:paraId="11CE3056" w14:textId="192A10CF" w:rsidR="00227F98" w:rsidRPr="00227F98" w:rsidRDefault="00A0243E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capacitación </w:t>
            </w:r>
            <w:r w:rsidR="00227F98">
              <w:rPr>
                <w:b/>
                <w:sz w:val="20"/>
              </w:rPr>
              <w:t>especializada</w:t>
            </w:r>
          </w:p>
        </w:tc>
        <w:tc>
          <w:tcPr>
            <w:tcW w:w="1016" w:type="dxa"/>
          </w:tcPr>
          <w:p w14:paraId="2E210DEA" w14:textId="77777777" w:rsidR="00227F98" w:rsidRPr="00227F98" w:rsidRDefault="00227F98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comienzo prevista</w:t>
            </w:r>
          </w:p>
        </w:tc>
        <w:tc>
          <w:tcPr>
            <w:tcW w:w="1394" w:type="dxa"/>
          </w:tcPr>
          <w:p w14:paraId="14FF2266" w14:textId="77777777" w:rsidR="0009197B" w:rsidRDefault="00227F98" w:rsidP="00F75743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Muestra </w:t>
            </w:r>
          </w:p>
          <w:p w14:paraId="451F861A" w14:textId="1AD7643F" w:rsidR="00227F98" w:rsidRPr="00227F98" w:rsidRDefault="00227F98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de la conclusión</w:t>
            </w:r>
          </w:p>
        </w:tc>
      </w:tr>
      <w:tr w:rsidR="00A0243E" w:rsidRPr="00227F98" w14:paraId="16FB860E" w14:textId="77777777" w:rsidTr="0009197B">
        <w:trPr>
          <w:trHeight w:val="719"/>
        </w:trPr>
        <w:tc>
          <w:tcPr>
            <w:tcW w:w="1890" w:type="dxa"/>
          </w:tcPr>
          <w:p w14:paraId="58ACC600" w14:textId="428C6A9E" w:rsidR="0009197B" w:rsidRDefault="008F6FD1" w:rsidP="00F7574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1.1 Designar </w:t>
            </w:r>
          </w:p>
          <w:p w14:paraId="2D37147D" w14:textId="77777777" w:rsidR="0009197B" w:rsidRDefault="008F6FD1" w:rsidP="00F7574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 un encargado </w:t>
            </w:r>
          </w:p>
          <w:p w14:paraId="705830A8" w14:textId="3519BECD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del SGAS</w:t>
            </w:r>
          </w:p>
        </w:tc>
        <w:tc>
          <w:tcPr>
            <w:tcW w:w="1357" w:type="dxa"/>
          </w:tcPr>
          <w:p w14:paraId="024F9658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76471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51EEA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BDFDC03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</w:tcPr>
          <w:p w14:paraId="542D7969" w14:textId="77777777" w:rsidR="0009197B" w:rsidRDefault="008F6FD1" w:rsidP="00F7574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Suministrar una copia </w:t>
            </w:r>
          </w:p>
          <w:p w14:paraId="25A1815D" w14:textId="77777777" w:rsidR="0009197B" w:rsidRDefault="008F6FD1" w:rsidP="00F7574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de la carta oficial </w:t>
            </w:r>
          </w:p>
          <w:p w14:paraId="73CFA4A8" w14:textId="77777777" w:rsidR="0009197B" w:rsidRDefault="008F6FD1" w:rsidP="00F75743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de designación </w:t>
            </w:r>
          </w:p>
          <w:p w14:paraId="1608333D" w14:textId="7FECC1AE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a IFC</w:t>
            </w:r>
          </w:p>
          <w:p w14:paraId="53A25DF6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243E" w:rsidRPr="00227F98" w14:paraId="3DAF26A6" w14:textId="77777777" w:rsidTr="0009197B">
        <w:trPr>
          <w:trHeight w:val="701"/>
        </w:trPr>
        <w:tc>
          <w:tcPr>
            <w:tcW w:w="1890" w:type="dxa"/>
          </w:tcPr>
          <w:p w14:paraId="4A5278D7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1.2 Designar a un coordinar del SGAS</w:t>
            </w:r>
          </w:p>
        </w:tc>
        <w:tc>
          <w:tcPr>
            <w:tcW w:w="1357" w:type="dxa"/>
          </w:tcPr>
          <w:p w14:paraId="58F29AF5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2F9473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5EEBC0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E86F4D8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1A6C0958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243E" w:rsidRPr="00227F98" w14:paraId="6851769A" w14:textId="77777777" w:rsidTr="0009197B">
        <w:trPr>
          <w:trHeight w:val="701"/>
        </w:trPr>
        <w:tc>
          <w:tcPr>
            <w:tcW w:w="1890" w:type="dxa"/>
          </w:tcPr>
          <w:p w14:paraId="036A7232" w14:textId="77777777" w:rsidR="008F6FD1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1.3 Notificar a IFC si se nombra a un sustituto del encargado o del coordinador del SGAS</w:t>
            </w:r>
          </w:p>
        </w:tc>
        <w:tc>
          <w:tcPr>
            <w:tcW w:w="1357" w:type="dxa"/>
          </w:tcPr>
          <w:p w14:paraId="25AB8B02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090F6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C600E9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01DD8CA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541297AC" w14:textId="77777777" w:rsidR="008F6FD1" w:rsidRPr="00227F98" w:rsidRDefault="008F6FD1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0243E" w:rsidRPr="00227F98" w14:paraId="09525A10" w14:textId="77777777" w:rsidTr="0009197B">
        <w:trPr>
          <w:trHeight w:val="701"/>
        </w:trPr>
        <w:tc>
          <w:tcPr>
            <w:tcW w:w="1890" w:type="dxa"/>
          </w:tcPr>
          <w:p w14:paraId="183FD8F9" w14:textId="77777777" w:rsidR="00013DB3" w:rsidRDefault="004D6286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1.4 Crear un grupo de trabajo para el desarrollo y la aplicación del SGAS</w:t>
            </w:r>
          </w:p>
        </w:tc>
        <w:tc>
          <w:tcPr>
            <w:tcW w:w="1357" w:type="dxa"/>
          </w:tcPr>
          <w:p w14:paraId="647398EE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EBF72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C36236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B9B9DBD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BFF399E" w14:textId="77777777" w:rsidR="00013DB3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Proporcionar una lista de los miembros del personal que forman parte del grupo de trabajo</w:t>
            </w:r>
          </w:p>
        </w:tc>
      </w:tr>
      <w:tr w:rsidR="00A0243E" w:rsidRPr="00227F98" w14:paraId="1285F02B" w14:textId="77777777" w:rsidTr="0009197B">
        <w:trPr>
          <w:trHeight w:val="701"/>
        </w:trPr>
        <w:tc>
          <w:tcPr>
            <w:tcW w:w="1890" w:type="dxa"/>
          </w:tcPr>
          <w:p w14:paraId="3755CE70" w14:textId="7DD398A2" w:rsidR="00013DB3" w:rsidRDefault="00013DB3" w:rsidP="0009197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1.5 Si fuera necesario, definir los términos de referencia del consultor del SGAS</w:t>
            </w:r>
          </w:p>
        </w:tc>
        <w:tc>
          <w:tcPr>
            <w:tcW w:w="1357" w:type="dxa"/>
          </w:tcPr>
          <w:p w14:paraId="71DD621F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0A2B62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2F2CA4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6D0417A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E6CE479" w14:textId="39936AF9" w:rsidR="00013DB3" w:rsidRDefault="00013DB3" w:rsidP="0009197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Suministrar una copia de los </w:t>
            </w:r>
            <w:r w:rsidR="0009197B">
              <w:rPr>
                <w:sz w:val="20"/>
              </w:rPr>
              <w:t xml:space="preserve">términos de referencia </w:t>
            </w:r>
            <w:r>
              <w:rPr>
                <w:sz w:val="20"/>
              </w:rPr>
              <w:t>del consultor del SGAS a IFC</w:t>
            </w:r>
          </w:p>
        </w:tc>
      </w:tr>
      <w:tr w:rsidR="00A0243E" w:rsidRPr="00227F98" w14:paraId="667DFBFE" w14:textId="77777777" w:rsidTr="0009197B">
        <w:trPr>
          <w:trHeight w:val="701"/>
        </w:trPr>
        <w:tc>
          <w:tcPr>
            <w:tcW w:w="1890" w:type="dxa"/>
          </w:tcPr>
          <w:p w14:paraId="375B5EEA" w14:textId="77777777" w:rsidR="00013DB3" w:rsidRDefault="00013DB3" w:rsidP="00013DB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1.6 Contratar a un consultor del SGAS para que ayude al grupo de trabajo para la aplicación del SGAS</w:t>
            </w:r>
          </w:p>
        </w:tc>
        <w:tc>
          <w:tcPr>
            <w:tcW w:w="1357" w:type="dxa"/>
          </w:tcPr>
          <w:p w14:paraId="475500D0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0D022F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977A7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D100C71" w14:textId="77777777" w:rsidR="00013DB3" w:rsidRPr="00227F98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6BBA55E4" w14:textId="77777777" w:rsidR="00013DB3" w:rsidRDefault="00013DB3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una copia del contrato del consultor del SGAS a IFC</w:t>
            </w:r>
          </w:p>
        </w:tc>
      </w:tr>
      <w:tr w:rsidR="00227F98" w:rsidRPr="00227F98" w14:paraId="50CC426C" w14:textId="77777777" w:rsidTr="009B0257">
        <w:tc>
          <w:tcPr>
            <w:tcW w:w="9626" w:type="dxa"/>
            <w:gridSpan w:val="6"/>
          </w:tcPr>
          <w:p w14:paraId="0A393C55" w14:textId="677BB07D" w:rsidR="00227F98" w:rsidRPr="00227F98" w:rsidRDefault="00475A4A" w:rsidP="00A0243E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 xml:space="preserve">Puede agregar filas si se ha designado a otros miembros del personal para que se encarguen del desarrollo y la aplicación </w:t>
            </w:r>
            <w:r w:rsidR="00A0243E">
              <w:rPr>
                <w:sz w:val="18"/>
              </w:rPr>
              <w:t>del </w:t>
            </w:r>
            <w:r>
              <w:rPr>
                <w:sz w:val="18"/>
              </w:rPr>
              <w:t>SGAS.</w:t>
            </w:r>
          </w:p>
        </w:tc>
      </w:tr>
    </w:tbl>
    <w:p w14:paraId="471D1641" w14:textId="77777777" w:rsidR="00E12BE9" w:rsidRDefault="00E12BE9" w:rsidP="00F75743">
      <w:pPr>
        <w:pStyle w:val="ListParagraph"/>
      </w:pPr>
    </w:p>
    <w:p w14:paraId="41EBA078" w14:textId="77777777" w:rsidR="006F6500" w:rsidRDefault="006F6500" w:rsidP="00F75743">
      <w:pPr>
        <w:pStyle w:val="ListParagraph"/>
      </w:pPr>
    </w:p>
    <w:p w14:paraId="0777E1CE" w14:textId="77777777" w:rsidR="006F6500" w:rsidRDefault="006F6500" w:rsidP="00F75743">
      <w:pPr>
        <w:pStyle w:val="ListParagraph"/>
      </w:pPr>
    </w:p>
    <w:p w14:paraId="1D1E56E2" w14:textId="0F2EAA0B" w:rsidR="00227F98" w:rsidRDefault="006F5AE4" w:rsidP="00F75743">
      <w:pPr>
        <w:rPr>
          <w:b/>
          <w:u w:val="single"/>
        </w:rPr>
      </w:pPr>
      <w:r>
        <w:rPr>
          <w:b/>
          <w:u w:val="single"/>
        </w:rPr>
        <w:t>Segundo</w:t>
      </w:r>
      <w:r w:rsidR="00227F98">
        <w:rPr>
          <w:b/>
          <w:u w:val="single"/>
        </w:rPr>
        <w:t xml:space="preserve"> paso: Desarrollo de políticas y procedimientos del SGAS y aplicación del sistema</w:t>
      </w:r>
    </w:p>
    <w:p w14:paraId="2FF7D4AC" w14:textId="77777777" w:rsidR="00430083" w:rsidRDefault="00430083" w:rsidP="00F75743">
      <w:pPr>
        <w:rPr>
          <w:b/>
          <w:u w:val="single"/>
        </w:rPr>
      </w:pPr>
    </w:p>
    <w:tbl>
      <w:tblPr>
        <w:tblStyle w:val="TableGrid"/>
        <w:tblW w:w="9626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2069"/>
        <w:gridCol w:w="1406"/>
        <w:gridCol w:w="1455"/>
        <w:gridCol w:w="1353"/>
        <w:gridCol w:w="1418"/>
      </w:tblGrid>
      <w:tr w:rsidR="00771833" w:rsidRPr="00227F98" w14:paraId="33AE6901" w14:textId="77777777" w:rsidTr="009B0257">
        <w:tc>
          <w:tcPr>
            <w:tcW w:w="1925" w:type="dxa"/>
          </w:tcPr>
          <w:p w14:paraId="51A6A9A4" w14:textId="77777777" w:rsidR="00771833" w:rsidRPr="00227F98" w:rsidRDefault="00771833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2069" w:type="dxa"/>
          </w:tcPr>
          <w:p w14:paraId="01C6ECA5" w14:textId="77777777" w:rsidR="00771833" w:rsidRPr="00227F98" w:rsidRDefault="00F75743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Persona(s) encargada(s)</w:t>
            </w:r>
          </w:p>
        </w:tc>
        <w:tc>
          <w:tcPr>
            <w:tcW w:w="1406" w:type="dxa"/>
          </w:tcPr>
          <w:p w14:paraId="47713747" w14:textId="77777777" w:rsidR="00771833" w:rsidRPr="00227F98" w:rsidRDefault="00F75743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comienzo prevista</w:t>
            </w:r>
          </w:p>
        </w:tc>
        <w:tc>
          <w:tcPr>
            <w:tcW w:w="1455" w:type="dxa"/>
          </w:tcPr>
          <w:p w14:paraId="5D62879E" w14:textId="77777777" w:rsidR="00771833" w:rsidRPr="00227F98" w:rsidRDefault="004D6286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finalización prevista</w:t>
            </w:r>
          </w:p>
        </w:tc>
        <w:tc>
          <w:tcPr>
            <w:tcW w:w="1353" w:type="dxa"/>
          </w:tcPr>
          <w:p w14:paraId="27F9ADAA" w14:textId="77777777" w:rsidR="00771833" w:rsidRPr="00227F98" w:rsidRDefault="00EB0934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Producto</w:t>
            </w:r>
          </w:p>
        </w:tc>
        <w:tc>
          <w:tcPr>
            <w:tcW w:w="1418" w:type="dxa"/>
          </w:tcPr>
          <w:p w14:paraId="30881080" w14:textId="77777777" w:rsidR="00771833" w:rsidRDefault="00F75743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Muestra de la </w:t>
            </w:r>
          </w:p>
          <w:p w14:paraId="6EEDCBC0" w14:textId="77777777" w:rsidR="00F75743" w:rsidRPr="00227F98" w:rsidRDefault="00F75743" w:rsidP="00F7574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conclusión</w:t>
            </w:r>
          </w:p>
        </w:tc>
      </w:tr>
      <w:tr w:rsidR="00F75743" w:rsidRPr="00227F98" w14:paraId="189AED6A" w14:textId="77777777" w:rsidTr="009B0257">
        <w:trPr>
          <w:trHeight w:val="980"/>
        </w:trPr>
        <w:tc>
          <w:tcPr>
            <w:tcW w:w="1925" w:type="dxa"/>
          </w:tcPr>
          <w:p w14:paraId="44FF26B3" w14:textId="77777777" w:rsidR="00F75743" w:rsidRDefault="00F64DC6" w:rsidP="00475A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2.1 Examinar los documentos orientativos facilitados por especialista(s) en materia ambiental y social de IFC</w:t>
            </w:r>
          </w:p>
        </w:tc>
        <w:tc>
          <w:tcPr>
            <w:tcW w:w="2069" w:type="dxa"/>
          </w:tcPr>
          <w:p w14:paraId="0B7C8AFB" w14:textId="77777777" w:rsidR="00F75743" w:rsidRPr="00227F98" w:rsidRDefault="00F7574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3EC6C84" w14:textId="77777777" w:rsidR="00F75743" w:rsidRPr="00227F98" w:rsidRDefault="00F7574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600BD9AB" w14:textId="77777777" w:rsidR="00F75743" w:rsidRPr="00227F98" w:rsidRDefault="00F7574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41AA6D88" w14:textId="77777777" w:rsidR="00F75743" w:rsidRPr="00227F98" w:rsidRDefault="00EB0934" w:rsidP="002A5DC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Una serie de preguntas y comentarios</w:t>
            </w:r>
          </w:p>
        </w:tc>
        <w:tc>
          <w:tcPr>
            <w:tcW w:w="1418" w:type="dxa"/>
          </w:tcPr>
          <w:p w14:paraId="4238D046" w14:textId="77777777" w:rsidR="00F75743" w:rsidRDefault="00F64DC6" w:rsidP="002A5DC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Ponerse en contacto con especialista(s) en materia ambiental y social de IFC para plantearle las preguntas y/o comentarios formulados durante el proceso de examen del documento</w:t>
            </w:r>
          </w:p>
        </w:tc>
      </w:tr>
      <w:tr w:rsidR="00771833" w:rsidRPr="00227F98" w14:paraId="6688D4C2" w14:textId="77777777" w:rsidTr="009B0257">
        <w:trPr>
          <w:trHeight w:val="980"/>
        </w:trPr>
        <w:tc>
          <w:tcPr>
            <w:tcW w:w="1925" w:type="dxa"/>
          </w:tcPr>
          <w:p w14:paraId="0A92C923" w14:textId="77777777" w:rsidR="00771833" w:rsidRPr="00227F98" w:rsidRDefault="00771833" w:rsidP="004D628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2.2 Formular la declaración de la política ambiental y social</w:t>
            </w:r>
          </w:p>
        </w:tc>
        <w:tc>
          <w:tcPr>
            <w:tcW w:w="2069" w:type="dxa"/>
          </w:tcPr>
          <w:p w14:paraId="3C3AFE16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3E325893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2C7CDD4A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4D422A36" w14:textId="77777777" w:rsidR="00771833" w:rsidRPr="00227F98" w:rsidRDefault="00F46120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Declaración de la política del SGAS</w:t>
            </w:r>
          </w:p>
        </w:tc>
        <w:tc>
          <w:tcPr>
            <w:tcW w:w="1418" w:type="dxa"/>
          </w:tcPr>
          <w:p w14:paraId="7E5A3AA5" w14:textId="77777777" w:rsidR="00771833" w:rsidRPr="00227F98" w:rsidRDefault="00475A4A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Someter el borrador de la declaración de la política al examen y los comentarios de IFC</w:t>
            </w:r>
          </w:p>
        </w:tc>
      </w:tr>
      <w:tr w:rsidR="00771833" w:rsidRPr="00227F98" w14:paraId="27DF65DB" w14:textId="77777777" w:rsidTr="009B0257">
        <w:tc>
          <w:tcPr>
            <w:tcW w:w="1925" w:type="dxa"/>
          </w:tcPr>
          <w:p w14:paraId="2A570A64" w14:textId="77777777" w:rsidR="00771833" w:rsidRPr="00227F98" w:rsidRDefault="00771833" w:rsidP="0037754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2.3 Desarrollar procedimientos de evaluación inicial y seguimiento para la evaluación del riesgo del SGAS</w:t>
            </w:r>
          </w:p>
        </w:tc>
        <w:tc>
          <w:tcPr>
            <w:tcW w:w="2069" w:type="dxa"/>
          </w:tcPr>
          <w:p w14:paraId="68367817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0CA9FB6D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01F3BBE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7943DC3C" w14:textId="77777777" w:rsidR="00771833" w:rsidRPr="00227F98" w:rsidRDefault="00F46120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Procedimientos de evaluación inicial y seguimiento del SGAS</w:t>
            </w:r>
          </w:p>
        </w:tc>
        <w:tc>
          <w:tcPr>
            <w:tcW w:w="1418" w:type="dxa"/>
          </w:tcPr>
          <w:p w14:paraId="3B64DF83" w14:textId="77777777" w:rsidR="00771833" w:rsidRPr="00227F98" w:rsidRDefault="00475A4A" w:rsidP="00917D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Someter el borrador de los procedimientos de evaluación inicial y seguimiento al examen y los comentarios de IFC</w:t>
            </w:r>
          </w:p>
        </w:tc>
      </w:tr>
      <w:tr w:rsidR="005C2CE9" w:rsidRPr="00227F98" w14:paraId="4039AF65" w14:textId="77777777" w:rsidTr="009B0257">
        <w:tc>
          <w:tcPr>
            <w:tcW w:w="1925" w:type="dxa"/>
          </w:tcPr>
          <w:p w14:paraId="40533E0D" w14:textId="77777777" w:rsidR="005C2CE9" w:rsidRDefault="005C2CE9" w:rsidP="00475A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2.4 Desarrollar un procedimiento de examen interno y presentación de informes para registrar las actualizaciones de las leyes nacionales en materia ambiental y social y mejorar continuamente el </w:t>
            </w:r>
            <w:r>
              <w:rPr>
                <w:sz w:val="20"/>
              </w:rPr>
              <w:lastRenderedPageBreak/>
              <w:t>funcionamiento del SGAS</w:t>
            </w:r>
          </w:p>
        </w:tc>
        <w:tc>
          <w:tcPr>
            <w:tcW w:w="2069" w:type="dxa"/>
          </w:tcPr>
          <w:p w14:paraId="54805B1A" w14:textId="77777777" w:rsidR="005C2CE9" w:rsidRPr="00227F98" w:rsidRDefault="005C2CE9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5B33E13D" w14:textId="77777777" w:rsidR="005C2CE9" w:rsidRPr="00227F98" w:rsidRDefault="005C2CE9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054D778" w14:textId="77777777" w:rsidR="005C2CE9" w:rsidRPr="00227F98" w:rsidRDefault="005C2CE9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01DB0F88" w14:textId="77777777" w:rsidR="005C2CE9" w:rsidRDefault="00F46120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Presentación de informes internos y procedimiento de actualización del SGAS</w:t>
            </w:r>
          </w:p>
        </w:tc>
        <w:tc>
          <w:tcPr>
            <w:tcW w:w="1418" w:type="dxa"/>
          </w:tcPr>
          <w:p w14:paraId="4BEF8E7A" w14:textId="77777777" w:rsidR="005C2CE9" w:rsidRDefault="00475A4A" w:rsidP="00917D2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Proporcionar un borrador del procedimiento a IFC</w:t>
            </w:r>
          </w:p>
        </w:tc>
      </w:tr>
      <w:tr w:rsidR="00CD43FA" w:rsidRPr="00227F98" w14:paraId="1AABA46B" w14:textId="77777777" w:rsidTr="009B0257">
        <w:tc>
          <w:tcPr>
            <w:tcW w:w="1925" w:type="dxa"/>
          </w:tcPr>
          <w:p w14:paraId="000A94B4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2.5 Finalizar la política y los procedimientos del SGAS mediante la incorporación de los comentarios y las recomendaciones de IFC</w:t>
            </w:r>
          </w:p>
        </w:tc>
        <w:tc>
          <w:tcPr>
            <w:tcW w:w="2069" w:type="dxa"/>
          </w:tcPr>
          <w:p w14:paraId="30F77D28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2189311D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272DF4E3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291869A7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89A068F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Proporcionar la documentación final sobre el SGAS a IFC</w:t>
            </w:r>
          </w:p>
          <w:p w14:paraId="37FA5C17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D43FA" w:rsidRPr="00227F98" w14:paraId="3AB9238D" w14:textId="77777777" w:rsidTr="009B0257">
        <w:tc>
          <w:tcPr>
            <w:tcW w:w="1925" w:type="dxa"/>
          </w:tcPr>
          <w:p w14:paraId="45CF49FA" w14:textId="77777777" w:rsidR="00CD43FA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2.6 Incorporar la lista de exclusión de IFC</w:t>
            </w:r>
          </w:p>
        </w:tc>
        <w:tc>
          <w:tcPr>
            <w:tcW w:w="2069" w:type="dxa"/>
          </w:tcPr>
          <w:p w14:paraId="3C55E2FF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5F22F0C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703B41A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642133FE" w14:textId="77777777" w:rsidR="00CD43FA" w:rsidRPr="00227F98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D47C80" w14:textId="77777777" w:rsidR="00CD43FA" w:rsidRDefault="00CD43FA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71833" w:rsidRPr="00227F98" w14:paraId="6853D0EE" w14:textId="77777777" w:rsidTr="009B0257">
        <w:tc>
          <w:tcPr>
            <w:tcW w:w="1925" w:type="dxa"/>
          </w:tcPr>
          <w:p w14:paraId="6B95A506" w14:textId="77777777" w:rsidR="00771833" w:rsidRPr="00227F98" w:rsidRDefault="009733B1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2.7 Aprobación y firma de la gerencia</w:t>
            </w:r>
          </w:p>
        </w:tc>
        <w:tc>
          <w:tcPr>
            <w:tcW w:w="2069" w:type="dxa"/>
          </w:tcPr>
          <w:p w14:paraId="66E8B7FC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08E73277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2887B2A2" w14:textId="77777777" w:rsidR="00771833" w:rsidRPr="00227F98" w:rsidRDefault="00771833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78DCBB8D" w14:textId="77777777" w:rsidR="00771833" w:rsidRPr="00227F98" w:rsidRDefault="007D53BD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Resolución de aprobación de la gerencia</w:t>
            </w:r>
          </w:p>
        </w:tc>
        <w:tc>
          <w:tcPr>
            <w:tcW w:w="1418" w:type="dxa"/>
          </w:tcPr>
          <w:p w14:paraId="47141419" w14:textId="77777777" w:rsidR="00771833" w:rsidRPr="00227F98" w:rsidRDefault="00F64DC6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una copia de la resolución de la gerencia a IFC</w:t>
            </w:r>
          </w:p>
        </w:tc>
      </w:tr>
      <w:tr w:rsidR="004524BE" w:rsidRPr="00227F98" w14:paraId="28D2E470" w14:textId="77777777" w:rsidTr="009B0257">
        <w:tc>
          <w:tcPr>
            <w:tcW w:w="1925" w:type="dxa"/>
          </w:tcPr>
          <w:p w14:paraId="72833018" w14:textId="0C3E1A6D" w:rsidR="004524BE" w:rsidRDefault="009733B1" w:rsidP="00A024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2.8 Evaluación de las posibles actualizaciones del sistema de gestión de la información del banco para que </w:t>
            </w:r>
            <w:r w:rsidR="00A0243E">
              <w:rPr>
                <w:sz w:val="20"/>
              </w:rPr>
              <w:t xml:space="preserve">de respaldo a </w:t>
            </w:r>
            <w:r>
              <w:rPr>
                <w:sz w:val="20"/>
              </w:rPr>
              <w:t>la aplicación del SGAS</w:t>
            </w:r>
          </w:p>
        </w:tc>
        <w:tc>
          <w:tcPr>
            <w:tcW w:w="2069" w:type="dxa"/>
          </w:tcPr>
          <w:p w14:paraId="2DD90FAB" w14:textId="77777777" w:rsidR="004524BE" w:rsidRPr="00227F98" w:rsidRDefault="004524BE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7B3ACBD7" w14:textId="77777777" w:rsidR="004524BE" w:rsidRPr="00227F98" w:rsidRDefault="004524BE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19AAE434" w14:textId="77777777" w:rsidR="004524BE" w:rsidRPr="00227F98" w:rsidRDefault="004524BE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4C016459" w14:textId="77777777" w:rsidR="004524BE" w:rsidRPr="00227F98" w:rsidRDefault="007D53BD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Una lista de las actualizaciones que se van a incorporar al sistema de gestión de la información del banco</w:t>
            </w:r>
          </w:p>
        </w:tc>
        <w:tc>
          <w:tcPr>
            <w:tcW w:w="1418" w:type="dxa"/>
          </w:tcPr>
          <w:p w14:paraId="6C7392C8" w14:textId="77777777" w:rsidR="004524BE" w:rsidRDefault="004524BE" w:rsidP="007D53B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una copia de las actualizaciones propuestas a IFC</w:t>
            </w:r>
          </w:p>
        </w:tc>
      </w:tr>
      <w:tr w:rsidR="004524BE" w:rsidRPr="00227F98" w14:paraId="6B59CED3" w14:textId="77777777" w:rsidTr="009B0257">
        <w:tc>
          <w:tcPr>
            <w:tcW w:w="1925" w:type="dxa"/>
          </w:tcPr>
          <w:p w14:paraId="3D92782D" w14:textId="77777777" w:rsidR="004524BE" w:rsidRDefault="009733B1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2.9 Incorporar el examen y la evaluación de las cuestiones ambientales y sociales a los procedimientos de examen de créditos del banco</w:t>
            </w:r>
          </w:p>
        </w:tc>
        <w:tc>
          <w:tcPr>
            <w:tcW w:w="2069" w:type="dxa"/>
          </w:tcPr>
          <w:p w14:paraId="371927DF" w14:textId="77777777" w:rsidR="004524BE" w:rsidRPr="00227F98" w:rsidRDefault="004524BE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5B1B6177" w14:textId="77777777" w:rsidR="004524BE" w:rsidRPr="00227F98" w:rsidRDefault="004524BE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4476E8B3" w14:textId="77777777" w:rsidR="004524BE" w:rsidRPr="00227F98" w:rsidRDefault="004524BE" w:rsidP="00F757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20C9E608" w14:textId="77777777" w:rsidR="004524BE" w:rsidRPr="00227F98" w:rsidRDefault="00475A4A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Actualización de los procedimientos de examen de créditos</w:t>
            </w:r>
          </w:p>
        </w:tc>
        <w:tc>
          <w:tcPr>
            <w:tcW w:w="1418" w:type="dxa"/>
          </w:tcPr>
          <w:p w14:paraId="7C8A93EC" w14:textId="77777777" w:rsidR="004524BE" w:rsidRDefault="00E12BE9" w:rsidP="00F7574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los procedimientos actualizados de examen de créditos a IFC</w:t>
            </w:r>
          </w:p>
        </w:tc>
      </w:tr>
    </w:tbl>
    <w:p w14:paraId="6F606BDC" w14:textId="77777777" w:rsidR="007A5D5A" w:rsidRDefault="007A5D5A" w:rsidP="00F75743">
      <w:pPr>
        <w:rPr>
          <w:b/>
          <w:u w:val="single"/>
        </w:rPr>
      </w:pPr>
    </w:p>
    <w:p w14:paraId="6116D6D3" w14:textId="45888470" w:rsidR="00F64DC6" w:rsidRDefault="00F01E6A" w:rsidP="00F64DC6">
      <w:pPr>
        <w:rPr>
          <w:b/>
          <w:u w:val="single"/>
        </w:rPr>
      </w:pPr>
      <w:r>
        <w:rPr>
          <w:b/>
          <w:u w:val="single"/>
        </w:rPr>
        <w:t>Tercer</w:t>
      </w:r>
      <w:r w:rsidR="00F64DC6">
        <w:rPr>
          <w:b/>
          <w:u w:val="single"/>
        </w:rPr>
        <w:t xml:space="preserve"> paso: Desarrollo de material orientativo sobre la aplicación del SGAS</w:t>
      </w:r>
    </w:p>
    <w:p w14:paraId="443C38E4" w14:textId="77777777" w:rsidR="00F64DC6" w:rsidRDefault="00F64DC6" w:rsidP="00F75743">
      <w:pPr>
        <w:rPr>
          <w:b/>
          <w:u w:val="single"/>
        </w:rPr>
      </w:pPr>
    </w:p>
    <w:tbl>
      <w:tblPr>
        <w:tblStyle w:val="TableGrid"/>
        <w:tblW w:w="9626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44"/>
        <w:gridCol w:w="1226"/>
        <w:gridCol w:w="1350"/>
        <w:gridCol w:w="1638"/>
        <w:gridCol w:w="1418"/>
      </w:tblGrid>
      <w:tr w:rsidR="00EB0934" w:rsidRPr="00227F98" w14:paraId="689A6366" w14:textId="77777777" w:rsidTr="009B0257">
        <w:tc>
          <w:tcPr>
            <w:tcW w:w="2250" w:type="dxa"/>
          </w:tcPr>
          <w:p w14:paraId="555F4D4E" w14:textId="77777777" w:rsidR="00EB0934" w:rsidRPr="00227F98" w:rsidRDefault="00EB0934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1744" w:type="dxa"/>
          </w:tcPr>
          <w:p w14:paraId="4425984E" w14:textId="77777777" w:rsidR="00EB0934" w:rsidRPr="00227F98" w:rsidRDefault="00EB0934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Persona(s) encargada(s)</w:t>
            </w:r>
          </w:p>
        </w:tc>
        <w:tc>
          <w:tcPr>
            <w:tcW w:w="1226" w:type="dxa"/>
          </w:tcPr>
          <w:p w14:paraId="7150C28C" w14:textId="77777777" w:rsidR="00EB0934" w:rsidRPr="00227F98" w:rsidRDefault="00EB0934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comienzo prevista</w:t>
            </w:r>
          </w:p>
        </w:tc>
        <w:tc>
          <w:tcPr>
            <w:tcW w:w="1350" w:type="dxa"/>
          </w:tcPr>
          <w:p w14:paraId="42446960" w14:textId="77777777" w:rsidR="00EB0934" w:rsidRPr="00227F98" w:rsidRDefault="004D6286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finalización prevista</w:t>
            </w:r>
          </w:p>
        </w:tc>
        <w:tc>
          <w:tcPr>
            <w:tcW w:w="1638" w:type="dxa"/>
          </w:tcPr>
          <w:p w14:paraId="558B4CBC" w14:textId="77777777" w:rsidR="00EB0934" w:rsidRPr="00227F98" w:rsidRDefault="000C795A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Producto</w:t>
            </w:r>
          </w:p>
        </w:tc>
        <w:tc>
          <w:tcPr>
            <w:tcW w:w="1418" w:type="dxa"/>
          </w:tcPr>
          <w:p w14:paraId="5C0B9F5D" w14:textId="77777777" w:rsidR="00EB0934" w:rsidRDefault="00EB0934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Muestra de la </w:t>
            </w:r>
          </w:p>
          <w:p w14:paraId="44ED8F2C" w14:textId="77777777" w:rsidR="00EB0934" w:rsidRPr="00227F98" w:rsidRDefault="00EB0934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conclusión</w:t>
            </w:r>
          </w:p>
        </w:tc>
      </w:tr>
      <w:tr w:rsidR="00CD43FA" w14:paraId="36109A0C" w14:textId="77777777" w:rsidTr="009B0257">
        <w:trPr>
          <w:trHeight w:val="980"/>
        </w:trPr>
        <w:tc>
          <w:tcPr>
            <w:tcW w:w="2250" w:type="dxa"/>
          </w:tcPr>
          <w:p w14:paraId="05E426C9" w14:textId="77777777" w:rsidR="00CD43FA" w:rsidRDefault="00CD43FA" w:rsidP="00B4101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3.1 Desarrollo de un instrumento de clasificación del riesgo ambiental y social</w:t>
            </w:r>
          </w:p>
        </w:tc>
        <w:tc>
          <w:tcPr>
            <w:tcW w:w="1744" w:type="dxa"/>
          </w:tcPr>
          <w:p w14:paraId="1CB0A19F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3F3517DE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E187F2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5129491F" w14:textId="32ADEB30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Uso del instrumento de clasificación para clasificar los proyectos en tramitación y la cartera de proyectos dentro de la</w:t>
            </w:r>
            <w:r w:rsidR="00A0243E">
              <w:rPr>
                <w:sz w:val="20"/>
              </w:rPr>
              <w:t>s</w:t>
            </w:r>
            <w:r>
              <w:rPr>
                <w:sz w:val="20"/>
              </w:rPr>
              <w:t xml:space="preserve"> categorías de riesgo alto, mediano y bajo</w:t>
            </w:r>
          </w:p>
        </w:tc>
        <w:tc>
          <w:tcPr>
            <w:tcW w:w="1418" w:type="dxa"/>
            <w:vMerge w:val="restart"/>
          </w:tcPr>
          <w:p w14:paraId="37E70DFE" w14:textId="77777777" w:rsidR="00CD43FA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una copia a IFC</w:t>
            </w:r>
          </w:p>
        </w:tc>
      </w:tr>
      <w:tr w:rsidR="00CD43FA" w:rsidRPr="00227F98" w14:paraId="24BDA5F6" w14:textId="77777777" w:rsidTr="009B0257">
        <w:trPr>
          <w:trHeight w:val="980"/>
        </w:trPr>
        <w:tc>
          <w:tcPr>
            <w:tcW w:w="2250" w:type="dxa"/>
          </w:tcPr>
          <w:p w14:paraId="35F290DB" w14:textId="77777777" w:rsidR="00CD43FA" w:rsidRPr="00227F98" w:rsidRDefault="00CD43FA" w:rsidP="007D53B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3.2 Desarrollo de un formulario de evaluación inicial de la debida diligencia ambiental y social</w:t>
            </w:r>
          </w:p>
        </w:tc>
        <w:tc>
          <w:tcPr>
            <w:tcW w:w="1744" w:type="dxa"/>
          </w:tcPr>
          <w:p w14:paraId="35ABFAE0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1C42AA2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A458B9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24ECA32D" w14:textId="77777777" w:rsidR="00CD43FA" w:rsidRPr="00227F98" w:rsidRDefault="00F46120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Formulario sobre diligencia debida ambiental y social que se va a usar en la fase de evaluación inicial</w:t>
            </w:r>
          </w:p>
        </w:tc>
        <w:tc>
          <w:tcPr>
            <w:tcW w:w="1418" w:type="dxa"/>
            <w:vMerge/>
          </w:tcPr>
          <w:p w14:paraId="253CB377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D43FA" w:rsidRPr="00227F98" w14:paraId="4985706A" w14:textId="77777777" w:rsidTr="009B0257">
        <w:tc>
          <w:tcPr>
            <w:tcW w:w="2250" w:type="dxa"/>
          </w:tcPr>
          <w:p w14:paraId="1A949E05" w14:textId="77777777" w:rsidR="00CD43FA" w:rsidRPr="00227F98" w:rsidRDefault="00CD43FA" w:rsidP="00C5772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3.3 Desarrollo de una lista de control sobre el cumplimiento de los reglamentos ambientales y sociales del país anfitrión</w:t>
            </w:r>
          </w:p>
        </w:tc>
        <w:tc>
          <w:tcPr>
            <w:tcW w:w="1744" w:type="dxa"/>
          </w:tcPr>
          <w:p w14:paraId="527EDC83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7DE7E5B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A2510F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370C8AC9" w14:textId="08B838EF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Lista de control de los reglamentos ambientales y social</w:t>
            </w:r>
            <w:r w:rsidR="00A0243E">
              <w:rPr>
                <w:sz w:val="20"/>
              </w:rPr>
              <w:t>es</w:t>
            </w:r>
            <w:r>
              <w:rPr>
                <w:sz w:val="20"/>
              </w:rPr>
              <w:t xml:space="preserve"> del país anfitrión</w:t>
            </w:r>
          </w:p>
        </w:tc>
        <w:tc>
          <w:tcPr>
            <w:tcW w:w="1418" w:type="dxa"/>
            <w:vMerge/>
          </w:tcPr>
          <w:p w14:paraId="77350ECB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D43FA" w:rsidRPr="00227F98" w14:paraId="34CB5745" w14:textId="77777777" w:rsidTr="009B0257">
        <w:tc>
          <w:tcPr>
            <w:tcW w:w="2250" w:type="dxa"/>
          </w:tcPr>
          <w:p w14:paraId="1F36774A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3.4 Desarrollo de una lista de control sobre el cumplimiento de las Normas de Desempeño de IFC</w:t>
            </w:r>
          </w:p>
        </w:tc>
        <w:tc>
          <w:tcPr>
            <w:tcW w:w="1744" w:type="dxa"/>
          </w:tcPr>
          <w:p w14:paraId="078B1120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7D1CB7C9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C39EF1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58B56661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Lista de control de las Normas de Desempeño de IFC</w:t>
            </w:r>
          </w:p>
        </w:tc>
        <w:tc>
          <w:tcPr>
            <w:tcW w:w="1418" w:type="dxa"/>
            <w:vMerge/>
          </w:tcPr>
          <w:p w14:paraId="4225877B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D43FA" w:rsidRPr="00227F98" w14:paraId="32A1D2DB" w14:textId="77777777" w:rsidTr="009B0257">
        <w:tc>
          <w:tcPr>
            <w:tcW w:w="2250" w:type="dxa"/>
          </w:tcPr>
          <w:p w14:paraId="77DFC6E2" w14:textId="214DA969" w:rsidR="00CD43FA" w:rsidRPr="00227F98" w:rsidRDefault="00CD43FA" w:rsidP="00A024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3.5 </w:t>
            </w:r>
            <w:r w:rsidR="00A0243E">
              <w:rPr>
                <w:sz w:val="20"/>
              </w:rPr>
              <w:t xml:space="preserve">Desarrollo de </w:t>
            </w:r>
            <w:r>
              <w:rPr>
                <w:sz w:val="20"/>
              </w:rPr>
              <w:t>un formulario sobre el seguimiento/la supervisión ambiental y social</w:t>
            </w:r>
          </w:p>
        </w:tc>
        <w:tc>
          <w:tcPr>
            <w:tcW w:w="1744" w:type="dxa"/>
          </w:tcPr>
          <w:p w14:paraId="5EDDBD9E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7BC0376D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81B596B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6C422B6B" w14:textId="77777777" w:rsidR="00CD43FA" w:rsidRPr="00227F98" w:rsidRDefault="00F46120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Formulario de seguimiento ambiental y social que se va a usar durante la fase de supervisión de proyectos</w:t>
            </w:r>
          </w:p>
        </w:tc>
        <w:tc>
          <w:tcPr>
            <w:tcW w:w="1418" w:type="dxa"/>
            <w:vMerge/>
          </w:tcPr>
          <w:p w14:paraId="4188A800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D43FA" w:rsidRPr="00227F98" w14:paraId="1A705E51" w14:textId="77777777" w:rsidTr="009B0257">
        <w:tc>
          <w:tcPr>
            <w:tcW w:w="2250" w:type="dxa"/>
          </w:tcPr>
          <w:p w14:paraId="0522E0A5" w14:textId="3B68EA20" w:rsidR="00CD43FA" w:rsidRDefault="00CD43FA" w:rsidP="00A024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3.6 Desarroll</w:t>
            </w:r>
            <w:r w:rsidR="00A0243E">
              <w:rPr>
                <w:sz w:val="20"/>
              </w:rPr>
              <w:t>o de</w:t>
            </w:r>
            <w:r>
              <w:rPr>
                <w:sz w:val="20"/>
              </w:rPr>
              <w:t xml:space="preserve"> un plan estándar de medidas ambientales y sociales para introducirlo en los convenios de préstamos del banco con clientes de alto riesgo (en los casos de incumplimiento de cuestiones ambientales y sociales)</w:t>
            </w:r>
          </w:p>
        </w:tc>
        <w:tc>
          <w:tcPr>
            <w:tcW w:w="1744" w:type="dxa"/>
          </w:tcPr>
          <w:p w14:paraId="2610DF8D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705CF43E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12EE6D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2651A7D6" w14:textId="77777777" w:rsidR="00CD43FA" w:rsidRPr="00227F98" w:rsidRDefault="00F46120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Plan de medidas ambientales y sociales para clientes de alto riesgo</w:t>
            </w:r>
          </w:p>
        </w:tc>
        <w:tc>
          <w:tcPr>
            <w:tcW w:w="1418" w:type="dxa"/>
            <w:vMerge/>
          </w:tcPr>
          <w:p w14:paraId="25A08739" w14:textId="77777777" w:rsidR="00CD43FA" w:rsidRPr="00227F98" w:rsidRDefault="00CD43FA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61486" w:rsidRPr="00227F98" w14:paraId="0018CBFC" w14:textId="77777777" w:rsidTr="009B0257">
        <w:tc>
          <w:tcPr>
            <w:tcW w:w="2250" w:type="dxa"/>
          </w:tcPr>
          <w:p w14:paraId="63DEFD46" w14:textId="77777777" w:rsidR="00961486" w:rsidRDefault="00961486" w:rsidP="009733B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3.7 Desarrollo de un texto estándar sobre cuestiones ambientales y sociales para su inclusión en los convenios de préstamo con todos los clientes</w:t>
            </w:r>
          </w:p>
        </w:tc>
        <w:tc>
          <w:tcPr>
            <w:tcW w:w="1744" w:type="dxa"/>
          </w:tcPr>
          <w:p w14:paraId="7CA75AF1" w14:textId="77777777" w:rsidR="00961486" w:rsidRPr="00227F98" w:rsidRDefault="00961486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3B58BAB3" w14:textId="77777777" w:rsidR="00961486" w:rsidRPr="00227F98" w:rsidRDefault="00961486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5FF3546" w14:textId="77777777" w:rsidR="00961486" w:rsidRPr="00227F98" w:rsidRDefault="00961486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3AABACE0" w14:textId="77777777" w:rsidR="00961486" w:rsidRDefault="0029272C" w:rsidP="002927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Texto estándar sobre cuestiones ambientales y sociales para su inclusión en todos los convenios de préstamo</w:t>
            </w:r>
          </w:p>
        </w:tc>
        <w:tc>
          <w:tcPr>
            <w:tcW w:w="1418" w:type="dxa"/>
          </w:tcPr>
          <w:p w14:paraId="6713DD2C" w14:textId="77777777" w:rsidR="00961486" w:rsidRDefault="0029272C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una copia del texto estándar sobre cuestiones ambientales y sociales a IFC</w:t>
            </w:r>
          </w:p>
        </w:tc>
      </w:tr>
    </w:tbl>
    <w:p w14:paraId="525644B5" w14:textId="77777777" w:rsidR="00E24868" w:rsidRDefault="00E24868" w:rsidP="00F64DC6">
      <w:pPr>
        <w:rPr>
          <w:b/>
          <w:u w:val="single"/>
        </w:rPr>
      </w:pPr>
    </w:p>
    <w:p w14:paraId="5296BC81" w14:textId="4AF084E6" w:rsidR="00F64DC6" w:rsidRDefault="0039439C" w:rsidP="00F64DC6">
      <w:pPr>
        <w:rPr>
          <w:b/>
          <w:u w:val="single"/>
        </w:rPr>
      </w:pPr>
      <w:r>
        <w:rPr>
          <w:b/>
          <w:u w:val="single"/>
        </w:rPr>
        <w:t>Cuarto</w:t>
      </w:r>
      <w:r w:rsidR="00B17FF3">
        <w:rPr>
          <w:b/>
          <w:u w:val="single"/>
        </w:rPr>
        <w:t xml:space="preserve"> paso: Procedimiento de </w:t>
      </w:r>
      <w:r w:rsidR="00D46BA1">
        <w:rPr>
          <w:b/>
          <w:u w:val="single"/>
        </w:rPr>
        <w:t xml:space="preserve">aplicación </w:t>
      </w:r>
    </w:p>
    <w:p w14:paraId="7BCA85CA" w14:textId="77777777" w:rsidR="00F64DC6" w:rsidRDefault="00F64DC6" w:rsidP="00F75743">
      <w:pPr>
        <w:rPr>
          <w:b/>
          <w:u w:val="single"/>
        </w:rPr>
      </w:pPr>
    </w:p>
    <w:tbl>
      <w:tblPr>
        <w:tblStyle w:val="TableGrid"/>
        <w:tblW w:w="9626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995"/>
        <w:gridCol w:w="1367"/>
        <w:gridCol w:w="1430"/>
        <w:gridCol w:w="1485"/>
        <w:gridCol w:w="1446"/>
      </w:tblGrid>
      <w:tr w:rsidR="0000236A" w:rsidRPr="00227F98" w14:paraId="23A87A38" w14:textId="77777777" w:rsidTr="009B0257">
        <w:tc>
          <w:tcPr>
            <w:tcW w:w="1903" w:type="dxa"/>
          </w:tcPr>
          <w:p w14:paraId="237B89ED" w14:textId="77777777" w:rsidR="0000236A" w:rsidRPr="00227F98" w:rsidRDefault="0000236A" w:rsidP="0000236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1995" w:type="dxa"/>
          </w:tcPr>
          <w:p w14:paraId="5567002B" w14:textId="77777777" w:rsidR="0000236A" w:rsidRPr="00227F98" w:rsidRDefault="0000236A" w:rsidP="0000236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Persona(s) encargada(s)</w:t>
            </w:r>
          </w:p>
        </w:tc>
        <w:tc>
          <w:tcPr>
            <w:tcW w:w="1367" w:type="dxa"/>
          </w:tcPr>
          <w:p w14:paraId="6B7E5EDD" w14:textId="77777777" w:rsidR="0000236A" w:rsidRPr="00227F98" w:rsidRDefault="0000236A" w:rsidP="0000236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comienzo prevista</w:t>
            </w:r>
          </w:p>
        </w:tc>
        <w:tc>
          <w:tcPr>
            <w:tcW w:w="1430" w:type="dxa"/>
          </w:tcPr>
          <w:p w14:paraId="6A0A3E0B" w14:textId="77777777" w:rsidR="0000236A" w:rsidRPr="00227F98" w:rsidRDefault="002B3D8E" w:rsidP="0000236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finalización prevista</w:t>
            </w:r>
          </w:p>
        </w:tc>
        <w:tc>
          <w:tcPr>
            <w:tcW w:w="1485" w:type="dxa"/>
          </w:tcPr>
          <w:p w14:paraId="25FB0C48" w14:textId="77777777" w:rsidR="0000236A" w:rsidRPr="00227F98" w:rsidRDefault="00E14FE5" w:rsidP="0000236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Producto</w:t>
            </w:r>
          </w:p>
        </w:tc>
        <w:tc>
          <w:tcPr>
            <w:tcW w:w="1446" w:type="dxa"/>
          </w:tcPr>
          <w:p w14:paraId="2B12E94B" w14:textId="77777777" w:rsidR="0000236A" w:rsidRDefault="0000236A" w:rsidP="0000236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Muestra de la </w:t>
            </w:r>
          </w:p>
          <w:p w14:paraId="0F8CB27F" w14:textId="77777777" w:rsidR="0000236A" w:rsidRPr="00227F98" w:rsidRDefault="0000236A" w:rsidP="0000236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conclusión</w:t>
            </w:r>
          </w:p>
        </w:tc>
      </w:tr>
      <w:tr w:rsidR="006C7CDE" w:rsidRPr="00227F98" w14:paraId="56BF0857" w14:textId="77777777" w:rsidTr="009B0257">
        <w:trPr>
          <w:trHeight w:val="980"/>
        </w:trPr>
        <w:tc>
          <w:tcPr>
            <w:tcW w:w="1903" w:type="dxa"/>
          </w:tcPr>
          <w:p w14:paraId="11658625" w14:textId="54A856DD" w:rsidR="006C7CDE" w:rsidRDefault="006C7CDE" w:rsidP="0046564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4.1 Desarrollar un programa de capacitación sobre cuestiones ambientales y </w:t>
            </w:r>
            <w:r>
              <w:rPr>
                <w:sz w:val="20"/>
              </w:rPr>
              <w:lastRenderedPageBreak/>
              <w:t>sociales para todo el personal pertinente</w:t>
            </w:r>
          </w:p>
        </w:tc>
        <w:tc>
          <w:tcPr>
            <w:tcW w:w="1995" w:type="dxa"/>
          </w:tcPr>
          <w:p w14:paraId="7ED7FE12" w14:textId="77777777" w:rsidR="006C7CDE" w:rsidRPr="00227F98" w:rsidRDefault="006C7CDE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3F3B076D" w14:textId="77777777" w:rsidR="006C7CDE" w:rsidRPr="00227F98" w:rsidRDefault="006C7CDE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698C96C" w14:textId="77777777" w:rsidR="006C7CDE" w:rsidRPr="00227F98" w:rsidRDefault="006C7CDE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E74127F" w14:textId="77777777" w:rsidR="006C7CDE" w:rsidRPr="00227F98" w:rsidRDefault="00F46120" w:rsidP="0000236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Programa de capacitación sobre cuestiones ambientales y </w:t>
            </w:r>
            <w:r>
              <w:rPr>
                <w:sz w:val="20"/>
              </w:rPr>
              <w:lastRenderedPageBreak/>
              <w:t>sociales</w:t>
            </w:r>
          </w:p>
        </w:tc>
        <w:tc>
          <w:tcPr>
            <w:tcW w:w="1446" w:type="dxa"/>
          </w:tcPr>
          <w:p w14:paraId="05F658F3" w14:textId="77777777" w:rsidR="006C7CDE" w:rsidRDefault="006C7CDE" w:rsidP="0000236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Suministrar una copia del programa de capacitación sobre </w:t>
            </w:r>
            <w:r>
              <w:rPr>
                <w:sz w:val="20"/>
              </w:rPr>
              <w:lastRenderedPageBreak/>
              <w:t>cuestiones ambientales y sociales a IFC</w:t>
            </w:r>
          </w:p>
        </w:tc>
      </w:tr>
      <w:tr w:rsidR="0000236A" w:rsidRPr="00227F98" w14:paraId="26AC1E86" w14:textId="77777777" w:rsidTr="009B0257">
        <w:trPr>
          <w:trHeight w:val="980"/>
        </w:trPr>
        <w:tc>
          <w:tcPr>
            <w:tcW w:w="1903" w:type="dxa"/>
          </w:tcPr>
          <w:p w14:paraId="79AFD5EE" w14:textId="3EE6B141" w:rsidR="0000236A" w:rsidRDefault="0026105F" w:rsidP="0046564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4.2 Establecer un calendario regular de capacitación sobre cuestiones ambientales y sociales</w:t>
            </w:r>
          </w:p>
        </w:tc>
        <w:tc>
          <w:tcPr>
            <w:tcW w:w="1995" w:type="dxa"/>
          </w:tcPr>
          <w:p w14:paraId="69AF13FA" w14:textId="77777777" w:rsidR="0000236A" w:rsidRPr="00227F98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C9E5C39" w14:textId="77777777" w:rsidR="0000236A" w:rsidRPr="00227F98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244E0F4" w14:textId="77777777" w:rsidR="0000236A" w:rsidRPr="00227F98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776E05D" w14:textId="77777777" w:rsidR="0000236A" w:rsidRPr="00227F98" w:rsidRDefault="00F46120" w:rsidP="0000236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Calendario de capacitación sobre cuestiones ambientales y sociales</w:t>
            </w:r>
          </w:p>
        </w:tc>
        <w:tc>
          <w:tcPr>
            <w:tcW w:w="1446" w:type="dxa"/>
          </w:tcPr>
          <w:p w14:paraId="7689FC97" w14:textId="77777777" w:rsidR="0000236A" w:rsidRDefault="0026105F" w:rsidP="0000236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una copia del calendario de capacitación a IFC</w:t>
            </w:r>
          </w:p>
        </w:tc>
      </w:tr>
      <w:tr w:rsidR="0000236A" w:rsidRPr="00227F98" w14:paraId="2FAB35B6" w14:textId="77777777" w:rsidTr="009B0257">
        <w:trPr>
          <w:trHeight w:val="980"/>
        </w:trPr>
        <w:tc>
          <w:tcPr>
            <w:tcW w:w="1903" w:type="dxa"/>
          </w:tcPr>
          <w:p w14:paraId="341BC349" w14:textId="77777777" w:rsidR="0000236A" w:rsidRPr="00227F98" w:rsidRDefault="006C7CDE" w:rsidP="0000236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4.3 Impartir ses</w:t>
            </w:r>
            <w:bookmarkStart w:id="0" w:name="_GoBack"/>
            <w:bookmarkEnd w:id="0"/>
            <w:r>
              <w:rPr>
                <w:sz w:val="20"/>
              </w:rPr>
              <w:t>iones de capacitación de acuerdo con el calendario establecido</w:t>
            </w:r>
          </w:p>
        </w:tc>
        <w:tc>
          <w:tcPr>
            <w:tcW w:w="1995" w:type="dxa"/>
          </w:tcPr>
          <w:p w14:paraId="281FA1BC" w14:textId="77777777" w:rsidR="0000236A" w:rsidRPr="00227F98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08C7772" w14:textId="77777777" w:rsidR="0000236A" w:rsidRPr="00227F98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7CF3B91" w14:textId="77777777" w:rsidR="0000236A" w:rsidRPr="00227F98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42CD369" w14:textId="77777777" w:rsidR="0000236A" w:rsidRPr="00227F98" w:rsidRDefault="0029272C" w:rsidP="0000236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Sesiones de capacitación impartidas</w:t>
            </w:r>
          </w:p>
        </w:tc>
        <w:tc>
          <w:tcPr>
            <w:tcW w:w="1446" w:type="dxa"/>
          </w:tcPr>
          <w:p w14:paraId="36B743A7" w14:textId="77777777" w:rsidR="0000236A" w:rsidRPr="00227F98" w:rsidRDefault="0026105F" w:rsidP="0000236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información a IFC acerca del número de empleados capacitados sobre la aplicación del SGAS</w:t>
            </w:r>
          </w:p>
        </w:tc>
      </w:tr>
      <w:tr w:rsidR="0000236A" w:rsidRPr="003820F3" w14:paraId="210AD209" w14:textId="77777777" w:rsidTr="009B0257">
        <w:tc>
          <w:tcPr>
            <w:tcW w:w="1903" w:type="dxa"/>
          </w:tcPr>
          <w:p w14:paraId="56384B00" w14:textId="08275069" w:rsidR="0000236A" w:rsidRPr="003820F3" w:rsidRDefault="0026105F" w:rsidP="003820F3">
            <w:pPr>
              <w:pStyle w:val="ListParagraph"/>
              <w:tabs>
                <w:tab w:val="center" w:pos="85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4.4 Aplicación del SGAS e impl</w:t>
            </w:r>
            <w:r w:rsidR="009763A4">
              <w:rPr>
                <w:sz w:val="20"/>
              </w:rPr>
              <w:t>emen</w:t>
            </w:r>
            <w:r>
              <w:rPr>
                <w:sz w:val="20"/>
              </w:rPr>
              <w:t>tación en todo el banco</w:t>
            </w:r>
            <w:r>
              <w:tab/>
            </w:r>
          </w:p>
          <w:p w14:paraId="48A22E91" w14:textId="77777777" w:rsidR="0026105F" w:rsidRPr="003820F3" w:rsidRDefault="0026105F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10E15C47" w14:textId="77777777" w:rsidR="0000236A" w:rsidRPr="003820F3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309DBCFA" w14:textId="77777777" w:rsidR="0000236A" w:rsidRPr="003820F3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E678A9A" w14:textId="77777777" w:rsidR="0000236A" w:rsidRPr="003820F3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53D103C" w14:textId="77777777" w:rsidR="0000236A" w:rsidRPr="003820F3" w:rsidRDefault="0000236A" w:rsidP="0000236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2A4A2EB" w14:textId="77777777" w:rsidR="0000236A" w:rsidRPr="003820F3" w:rsidRDefault="003820F3" w:rsidP="00C716E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información a IFC acerca del número de departamentos/sucursales que aplican el SGAS</w:t>
            </w:r>
          </w:p>
        </w:tc>
      </w:tr>
    </w:tbl>
    <w:p w14:paraId="74D1AC9E" w14:textId="77777777" w:rsidR="006F6500" w:rsidRDefault="006F6500" w:rsidP="0026105F">
      <w:pPr>
        <w:rPr>
          <w:b/>
          <w:u w:val="single"/>
        </w:rPr>
      </w:pPr>
    </w:p>
    <w:p w14:paraId="2AD82CAD" w14:textId="6744925A" w:rsidR="0026105F" w:rsidRDefault="00DE7C2E" w:rsidP="0026105F">
      <w:pPr>
        <w:rPr>
          <w:b/>
          <w:u w:val="single"/>
        </w:rPr>
      </w:pPr>
      <w:r>
        <w:rPr>
          <w:b/>
          <w:u w:val="single"/>
        </w:rPr>
        <w:t>Quinto</w:t>
      </w:r>
      <w:r w:rsidR="00AF6EB0">
        <w:rPr>
          <w:b/>
          <w:u w:val="single"/>
        </w:rPr>
        <w:t xml:space="preserve"> paso: Preparación de un informe anual</w:t>
      </w:r>
    </w:p>
    <w:p w14:paraId="4236A551" w14:textId="77777777" w:rsidR="0026105F" w:rsidRDefault="0026105F" w:rsidP="00F75743">
      <w:pPr>
        <w:rPr>
          <w:b/>
          <w:u w:val="single"/>
        </w:rPr>
      </w:pPr>
    </w:p>
    <w:tbl>
      <w:tblPr>
        <w:tblStyle w:val="TableGrid"/>
        <w:tblW w:w="9631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384"/>
        <w:gridCol w:w="1406"/>
        <w:gridCol w:w="1455"/>
        <w:gridCol w:w="1353"/>
        <w:gridCol w:w="1423"/>
      </w:tblGrid>
      <w:tr w:rsidR="00AF6EB0" w:rsidRPr="00227F98" w14:paraId="77AFD45C" w14:textId="77777777" w:rsidTr="009B0257">
        <w:tc>
          <w:tcPr>
            <w:tcW w:w="2610" w:type="dxa"/>
          </w:tcPr>
          <w:p w14:paraId="4570DE4E" w14:textId="77777777" w:rsidR="00AF6EB0" w:rsidRPr="00227F98" w:rsidRDefault="00AF6EB0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1384" w:type="dxa"/>
          </w:tcPr>
          <w:p w14:paraId="160D33ED" w14:textId="77777777" w:rsidR="00AF6EB0" w:rsidRPr="00227F98" w:rsidRDefault="00AF6EB0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Persona(s) encargada(s)</w:t>
            </w:r>
          </w:p>
        </w:tc>
        <w:tc>
          <w:tcPr>
            <w:tcW w:w="1406" w:type="dxa"/>
          </w:tcPr>
          <w:p w14:paraId="138DB98E" w14:textId="77777777" w:rsidR="00AF6EB0" w:rsidRPr="00227F98" w:rsidRDefault="00AF6EB0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comienzo prevista</w:t>
            </w:r>
          </w:p>
        </w:tc>
        <w:tc>
          <w:tcPr>
            <w:tcW w:w="1455" w:type="dxa"/>
          </w:tcPr>
          <w:p w14:paraId="3F1447BD" w14:textId="77777777" w:rsidR="00AF6EB0" w:rsidRPr="00227F98" w:rsidRDefault="002B3D8E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Fecha de finalización prevista</w:t>
            </w:r>
          </w:p>
        </w:tc>
        <w:tc>
          <w:tcPr>
            <w:tcW w:w="1353" w:type="dxa"/>
          </w:tcPr>
          <w:p w14:paraId="0810FE9F" w14:textId="77777777" w:rsidR="00AF6EB0" w:rsidRPr="00227F98" w:rsidRDefault="00751147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Producto</w:t>
            </w:r>
          </w:p>
        </w:tc>
        <w:tc>
          <w:tcPr>
            <w:tcW w:w="1423" w:type="dxa"/>
          </w:tcPr>
          <w:p w14:paraId="0F04CEE4" w14:textId="77777777" w:rsidR="00AF6EB0" w:rsidRDefault="00AF6EB0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Muestra de la </w:t>
            </w:r>
          </w:p>
          <w:p w14:paraId="4681ABFD" w14:textId="77777777" w:rsidR="00AF6EB0" w:rsidRPr="00227F98" w:rsidRDefault="00AF6EB0" w:rsidP="00EB093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conclusión</w:t>
            </w:r>
          </w:p>
        </w:tc>
      </w:tr>
      <w:tr w:rsidR="00AF6EB0" w14:paraId="5919A7F2" w14:textId="77777777" w:rsidTr="009B0257">
        <w:trPr>
          <w:trHeight w:val="980"/>
        </w:trPr>
        <w:tc>
          <w:tcPr>
            <w:tcW w:w="2610" w:type="dxa"/>
          </w:tcPr>
          <w:p w14:paraId="2F72CA41" w14:textId="77777777" w:rsidR="00AF6EB0" w:rsidRDefault="00F62CB2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5.1 Completar el formulario del IADA proporcionado por IFC</w:t>
            </w:r>
          </w:p>
        </w:tc>
        <w:tc>
          <w:tcPr>
            <w:tcW w:w="1384" w:type="dxa"/>
          </w:tcPr>
          <w:p w14:paraId="61C5EAC4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00CC422A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3712FA62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6E1C531F" w14:textId="77777777" w:rsidR="00AF6EB0" w:rsidRPr="00227F98" w:rsidRDefault="00751147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IADA completado</w:t>
            </w:r>
          </w:p>
        </w:tc>
        <w:tc>
          <w:tcPr>
            <w:tcW w:w="1423" w:type="dxa"/>
          </w:tcPr>
          <w:p w14:paraId="4FADC98B" w14:textId="77777777" w:rsidR="00AF6EB0" w:rsidRDefault="00C716E9" w:rsidP="00C716E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Suministrar el IADA a IFC</w:t>
            </w:r>
          </w:p>
        </w:tc>
      </w:tr>
      <w:tr w:rsidR="00AF6EB0" w:rsidRPr="00227F98" w14:paraId="771A80F6" w14:textId="77777777" w:rsidTr="009B0257">
        <w:trPr>
          <w:trHeight w:val="980"/>
        </w:trPr>
        <w:tc>
          <w:tcPr>
            <w:tcW w:w="2610" w:type="dxa"/>
          </w:tcPr>
          <w:p w14:paraId="484CCF92" w14:textId="77777777" w:rsidR="00AF6EB0" w:rsidRPr="00227F98" w:rsidRDefault="00F62CB2" w:rsidP="002927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5.2 Preparar información sobre la cartera, en la que se indique el desglose por sector industrial y la asignación de la categoría de riesgo ambiental </w:t>
            </w:r>
          </w:p>
        </w:tc>
        <w:tc>
          <w:tcPr>
            <w:tcW w:w="1384" w:type="dxa"/>
          </w:tcPr>
          <w:p w14:paraId="45C3FA04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0A5B4D77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6BB771D2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779669D7" w14:textId="77777777" w:rsidR="00AF6EB0" w:rsidRPr="00227F98" w:rsidRDefault="00751147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Información sobre la cartera</w:t>
            </w:r>
          </w:p>
        </w:tc>
        <w:tc>
          <w:tcPr>
            <w:tcW w:w="1423" w:type="dxa"/>
          </w:tcPr>
          <w:p w14:paraId="60675451" w14:textId="77777777" w:rsidR="00AF6EB0" w:rsidRPr="00227F98" w:rsidRDefault="00C5564B" w:rsidP="00EB09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Inclusión de la información sobre la cartera en el IADA</w:t>
            </w:r>
          </w:p>
        </w:tc>
      </w:tr>
      <w:tr w:rsidR="00AF6EB0" w:rsidRPr="00227F98" w14:paraId="3E2CF640" w14:textId="77777777" w:rsidTr="009B0257">
        <w:tc>
          <w:tcPr>
            <w:tcW w:w="2610" w:type="dxa"/>
          </w:tcPr>
          <w:p w14:paraId="4ED25FE4" w14:textId="77777777" w:rsidR="00AF6EB0" w:rsidRPr="00227F98" w:rsidRDefault="00C716E9" w:rsidP="0056095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5.3 Proporcionar ejemplos de procesos de debida diligencia ambiental y social completados para tres inversiones de alto riesgo y tres inversiones de mediano riesgo</w:t>
            </w:r>
          </w:p>
        </w:tc>
        <w:tc>
          <w:tcPr>
            <w:tcW w:w="1384" w:type="dxa"/>
          </w:tcPr>
          <w:p w14:paraId="77B597D9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0C8F60DD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383A9AA" w14:textId="77777777" w:rsidR="00AF6EB0" w:rsidRPr="00227F98" w:rsidRDefault="00AF6EB0" w:rsidP="00EB09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1D10E57B" w14:textId="77777777" w:rsidR="00AF6EB0" w:rsidRPr="00227F98" w:rsidRDefault="00751147" w:rsidP="00C716E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Ejemplos de debida diligencia ambiental y social para clientes de riesgo alto y mediano</w:t>
            </w:r>
          </w:p>
        </w:tc>
        <w:tc>
          <w:tcPr>
            <w:tcW w:w="1423" w:type="dxa"/>
          </w:tcPr>
          <w:p w14:paraId="2C4069F0" w14:textId="77777777" w:rsidR="00AF6EB0" w:rsidRPr="00227F98" w:rsidRDefault="00C716E9" w:rsidP="00C716E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Proporcionar ejemplos de debida diligencia ambiental y social para inversiones de alto y mediano riesgo incluidas en el IADA</w:t>
            </w:r>
          </w:p>
        </w:tc>
      </w:tr>
    </w:tbl>
    <w:p w14:paraId="5DEFDBD3" w14:textId="77777777" w:rsidR="0026105F" w:rsidRPr="00430083" w:rsidRDefault="0026105F" w:rsidP="00F75743">
      <w:pPr>
        <w:rPr>
          <w:b/>
          <w:u w:val="single"/>
        </w:rPr>
      </w:pPr>
    </w:p>
    <w:sectPr w:rsidR="0026105F" w:rsidRPr="00430083" w:rsidSect="00F7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9ED"/>
    <w:multiLevelType w:val="hybridMultilevel"/>
    <w:tmpl w:val="20AC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5410B"/>
    <w:multiLevelType w:val="hybridMultilevel"/>
    <w:tmpl w:val="701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6ED2"/>
    <w:multiLevelType w:val="hybridMultilevel"/>
    <w:tmpl w:val="C7DC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8"/>
    <w:rsid w:val="0000236A"/>
    <w:rsid w:val="00013DB3"/>
    <w:rsid w:val="0004176A"/>
    <w:rsid w:val="0009197B"/>
    <w:rsid w:val="000C795A"/>
    <w:rsid w:val="00102A5A"/>
    <w:rsid w:val="00171B13"/>
    <w:rsid w:val="00180EE1"/>
    <w:rsid w:val="00227F98"/>
    <w:rsid w:val="00240D6D"/>
    <w:rsid w:val="0026105F"/>
    <w:rsid w:val="0029272C"/>
    <w:rsid w:val="002A5DCE"/>
    <w:rsid w:val="002B3D8E"/>
    <w:rsid w:val="00351350"/>
    <w:rsid w:val="003578C3"/>
    <w:rsid w:val="00360B37"/>
    <w:rsid w:val="00375C13"/>
    <w:rsid w:val="00377540"/>
    <w:rsid w:val="003820F3"/>
    <w:rsid w:val="0039439C"/>
    <w:rsid w:val="003A7925"/>
    <w:rsid w:val="003E10A8"/>
    <w:rsid w:val="004067BE"/>
    <w:rsid w:val="00430083"/>
    <w:rsid w:val="00442A7A"/>
    <w:rsid w:val="004524BE"/>
    <w:rsid w:val="0046564E"/>
    <w:rsid w:val="00475A4A"/>
    <w:rsid w:val="004D6286"/>
    <w:rsid w:val="0050192C"/>
    <w:rsid w:val="005241D8"/>
    <w:rsid w:val="00536687"/>
    <w:rsid w:val="00553704"/>
    <w:rsid w:val="0056095A"/>
    <w:rsid w:val="0057255E"/>
    <w:rsid w:val="005A451D"/>
    <w:rsid w:val="005C2CE9"/>
    <w:rsid w:val="005C36C9"/>
    <w:rsid w:val="006054A0"/>
    <w:rsid w:val="00623CE1"/>
    <w:rsid w:val="006C7CDE"/>
    <w:rsid w:val="006D6C64"/>
    <w:rsid w:val="006F5AE4"/>
    <w:rsid w:val="006F6500"/>
    <w:rsid w:val="00727777"/>
    <w:rsid w:val="00745002"/>
    <w:rsid w:val="00751147"/>
    <w:rsid w:val="00771833"/>
    <w:rsid w:val="00782201"/>
    <w:rsid w:val="007A40CD"/>
    <w:rsid w:val="007A5D5A"/>
    <w:rsid w:val="007C107D"/>
    <w:rsid w:val="007C1F37"/>
    <w:rsid w:val="007D53BD"/>
    <w:rsid w:val="008322CB"/>
    <w:rsid w:val="008A47B7"/>
    <w:rsid w:val="008B56B0"/>
    <w:rsid w:val="008C1DF0"/>
    <w:rsid w:val="008F6FD1"/>
    <w:rsid w:val="00917D24"/>
    <w:rsid w:val="00943773"/>
    <w:rsid w:val="00961486"/>
    <w:rsid w:val="009733B1"/>
    <w:rsid w:val="009763A4"/>
    <w:rsid w:val="009B0257"/>
    <w:rsid w:val="009B1ABF"/>
    <w:rsid w:val="009D5D83"/>
    <w:rsid w:val="00A0243E"/>
    <w:rsid w:val="00A127E7"/>
    <w:rsid w:val="00AF6EB0"/>
    <w:rsid w:val="00B17FF3"/>
    <w:rsid w:val="00B41011"/>
    <w:rsid w:val="00B41770"/>
    <w:rsid w:val="00B44D61"/>
    <w:rsid w:val="00B530DA"/>
    <w:rsid w:val="00B9784A"/>
    <w:rsid w:val="00BB62AE"/>
    <w:rsid w:val="00C5564B"/>
    <w:rsid w:val="00C5772F"/>
    <w:rsid w:val="00C716E9"/>
    <w:rsid w:val="00CC6845"/>
    <w:rsid w:val="00CD43FA"/>
    <w:rsid w:val="00CF3082"/>
    <w:rsid w:val="00D46BA1"/>
    <w:rsid w:val="00D56FF5"/>
    <w:rsid w:val="00D81BF6"/>
    <w:rsid w:val="00D91752"/>
    <w:rsid w:val="00DB789B"/>
    <w:rsid w:val="00DE5808"/>
    <w:rsid w:val="00DE7C2E"/>
    <w:rsid w:val="00E01586"/>
    <w:rsid w:val="00E12BE9"/>
    <w:rsid w:val="00E14FE5"/>
    <w:rsid w:val="00E24868"/>
    <w:rsid w:val="00E422B3"/>
    <w:rsid w:val="00E46C04"/>
    <w:rsid w:val="00E82B0A"/>
    <w:rsid w:val="00EB0934"/>
    <w:rsid w:val="00F01E6A"/>
    <w:rsid w:val="00F36C46"/>
    <w:rsid w:val="00F46120"/>
    <w:rsid w:val="00F57005"/>
    <w:rsid w:val="00F62CB2"/>
    <w:rsid w:val="00F64DC6"/>
    <w:rsid w:val="00F75743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D7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C9"/>
    <w:pPr>
      <w:ind w:left="720"/>
      <w:contextualSpacing/>
    </w:pPr>
  </w:style>
  <w:style w:type="table" w:styleId="TableGrid">
    <w:name w:val="Table Grid"/>
    <w:basedOn w:val="TableNormal"/>
    <w:uiPriority w:val="59"/>
    <w:rsid w:val="005C36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C9"/>
    <w:pPr>
      <w:ind w:left="720"/>
      <w:contextualSpacing/>
    </w:pPr>
  </w:style>
  <w:style w:type="table" w:styleId="TableGrid">
    <w:name w:val="Table Grid"/>
    <w:basedOn w:val="TableNormal"/>
    <w:uiPriority w:val="59"/>
    <w:rsid w:val="005C36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SKrainak</dc:creator>
  <cp:lastModifiedBy>Raffaella Marinucci</cp:lastModifiedBy>
  <cp:revision>2</cp:revision>
  <cp:lastPrinted>2011-12-29T16:14:00Z</cp:lastPrinted>
  <dcterms:created xsi:type="dcterms:W3CDTF">2015-01-12T06:52:00Z</dcterms:created>
  <dcterms:modified xsi:type="dcterms:W3CDTF">2015-01-12T06:52:00Z</dcterms:modified>
</cp:coreProperties>
</file>