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FD" w:rsidRPr="00F927F4" w:rsidRDefault="002E7213" w:rsidP="004C36FF">
      <w:pPr>
        <w:jc w:val="center"/>
        <w:outlineLvl w:val="0"/>
        <w:rPr>
          <w:b/>
          <w:lang w:val="fr-FR"/>
        </w:rPr>
      </w:pPr>
      <w:bookmarkStart w:id="0" w:name="_GoBack"/>
      <w:bookmarkEnd w:id="0"/>
      <w:r w:rsidRPr="00F927F4">
        <w:rPr>
          <w:b/>
          <w:lang w:val="fr-FR"/>
        </w:rPr>
        <w:t>Document d’</w:t>
      </w:r>
      <w:r w:rsidR="00D40159">
        <w:rPr>
          <w:b/>
          <w:lang w:val="fr-FR"/>
        </w:rPr>
        <w:t xml:space="preserve">orientation pour </w:t>
      </w:r>
      <w:r w:rsidRPr="00F927F4">
        <w:rPr>
          <w:b/>
          <w:lang w:val="fr-FR"/>
        </w:rPr>
        <w:t xml:space="preserve">l’élaboration et la mise en œuvre </w:t>
      </w:r>
    </w:p>
    <w:p w:rsidR="00CC6845" w:rsidRPr="00F927F4" w:rsidRDefault="002E7213" w:rsidP="004C36FF">
      <w:pPr>
        <w:jc w:val="center"/>
        <w:outlineLvl w:val="0"/>
        <w:rPr>
          <w:b/>
          <w:lang w:val="fr-FR"/>
        </w:rPr>
      </w:pPr>
      <w:proofErr w:type="gramStart"/>
      <w:r w:rsidRPr="00F927F4">
        <w:rPr>
          <w:b/>
          <w:lang w:val="fr-FR"/>
        </w:rPr>
        <w:t>d’un</w:t>
      </w:r>
      <w:proofErr w:type="gramEnd"/>
      <w:r w:rsidRPr="00F927F4">
        <w:rPr>
          <w:b/>
          <w:lang w:val="fr-FR"/>
        </w:rPr>
        <w:t xml:space="preserve"> Système de gestion environnementale et sociale</w:t>
      </w:r>
    </w:p>
    <w:p w:rsidR="005C36C9" w:rsidRPr="00F927F4" w:rsidRDefault="005C36C9" w:rsidP="00F75743">
      <w:pPr>
        <w:rPr>
          <w:b/>
          <w:lang w:val="fr-FR"/>
        </w:rPr>
      </w:pPr>
    </w:p>
    <w:p w:rsidR="005C36C9" w:rsidRPr="00F927F4" w:rsidRDefault="00BD58BF" w:rsidP="00F75743">
      <w:pPr>
        <w:rPr>
          <w:lang w:val="fr-FR"/>
        </w:rPr>
      </w:pPr>
      <w:r w:rsidRPr="00F927F4">
        <w:rPr>
          <w:lang w:val="fr-FR"/>
        </w:rPr>
        <w:t>Le</w:t>
      </w:r>
      <w:r w:rsidR="005C36C9" w:rsidRPr="00F927F4">
        <w:rPr>
          <w:lang w:val="fr-FR"/>
        </w:rPr>
        <w:t xml:space="preserve"> [client/n</w:t>
      </w:r>
      <w:r w:rsidRPr="00F927F4">
        <w:rPr>
          <w:lang w:val="fr-FR"/>
        </w:rPr>
        <w:t>om du client</w:t>
      </w:r>
      <w:r w:rsidR="005C36C9" w:rsidRPr="00F927F4">
        <w:rPr>
          <w:lang w:val="fr-FR"/>
        </w:rPr>
        <w:t xml:space="preserve">] </w:t>
      </w:r>
      <w:r w:rsidRPr="00F927F4">
        <w:rPr>
          <w:lang w:val="fr-FR"/>
        </w:rPr>
        <w:t>est tenu d</w:t>
      </w:r>
      <w:r w:rsidR="00022500" w:rsidRPr="00F927F4">
        <w:rPr>
          <w:lang w:val="fr-FR"/>
        </w:rPr>
        <w:t xml:space="preserve">’établir tous les </w:t>
      </w:r>
      <w:r w:rsidR="005C36C9" w:rsidRPr="00F927F4">
        <w:rPr>
          <w:lang w:val="fr-FR"/>
        </w:rPr>
        <w:t>[</w:t>
      </w:r>
      <w:r w:rsidRPr="00F927F4">
        <w:rPr>
          <w:lang w:val="fr-FR"/>
        </w:rPr>
        <w:t>mois/2 mois</w:t>
      </w:r>
      <w:r w:rsidR="005C36C9" w:rsidRPr="00F927F4">
        <w:rPr>
          <w:lang w:val="fr-FR"/>
        </w:rPr>
        <w:t>/</w:t>
      </w:r>
      <w:r w:rsidRPr="00F927F4">
        <w:rPr>
          <w:lang w:val="fr-FR"/>
        </w:rPr>
        <w:t>trimestres</w:t>
      </w:r>
      <w:r w:rsidR="005C36C9" w:rsidRPr="00F927F4">
        <w:rPr>
          <w:lang w:val="fr-FR"/>
        </w:rPr>
        <w:t xml:space="preserve">] </w:t>
      </w:r>
      <w:r w:rsidR="00022500" w:rsidRPr="00F927F4">
        <w:rPr>
          <w:lang w:val="fr-FR"/>
        </w:rPr>
        <w:t xml:space="preserve">un rapport sur </w:t>
      </w:r>
      <w:r w:rsidRPr="00F927F4">
        <w:rPr>
          <w:lang w:val="fr-FR"/>
        </w:rPr>
        <w:t xml:space="preserve">l’avancement du travail d’élaboration et de mise en </w:t>
      </w:r>
      <w:r w:rsidR="00E67398" w:rsidRPr="00F927F4">
        <w:rPr>
          <w:lang w:val="fr-FR"/>
        </w:rPr>
        <w:t xml:space="preserve">œuvre </w:t>
      </w:r>
      <w:r w:rsidRPr="00F927F4">
        <w:rPr>
          <w:lang w:val="fr-FR"/>
        </w:rPr>
        <w:t>d’</w:t>
      </w:r>
      <w:r w:rsidR="00C0123E" w:rsidRPr="00F927F4">
        <w:rPr>
          <w:lang w:val="fr-FR"/>
        </w:rPr>
        <w:t>un S</w:t>
      </w:r>
      <w:r w:rsidRPr="00F927F4">
        <w:rPr>
          <w:lang w:val="fr-FR"/>
        </w:rPr>
        <w:t xml:space="preserve">ystème de </w:t>
      </w:r>
      <w:r w:rsidR="00C0123E" w:rsidRPr="00F927F4">
        <w:rPr>
          <w:lang w:val="fr-FR"/>
        </w:rPr>
        <w:t xml:space="preserve">gestion environnementale et sociale (SGES), à partir de la signature de l’accord </w:t>
      </w:r>
      <w:r w:rsidR="00022500" w:rsidRPr="00F927F4">
        <w:rPr>
          <w:lang w:val="fr-FR"/>
        </w:rPr>
        <w:t xml:space="preserve">juridique </w:t>
      </w:r>
      <w:r w:rsidR="00576058" w:rsidRPr="00F927F4">
        <w:rPr>
          <w:lang w:val="fr-FR"/>
        </w:rPr>
        <w:t xml:space="preserve">conclu </w:t>
      </w:r>
      <w:r w:rsidR="00C0123E" w:rsidRPr="00F927F4">
        <w:rPr>
          <w:lang w:val="fr-FR"/>
        </w:rPr>
        <w:t xml:space="preserve">avec IFC. Le client doit fournir des informations sur la procédure de déploiement du SGES, notamment la formation du personnel et le nombre de personnes formées, l’établissement de listes de </w:t>
      </w:r>
      <w:r w:rsidR="003F06C5" w:rsidRPr="00F927F4">
        <w:rPr>
          <w:lang w:val="fr-FR"/>
        </w:rPr>
        <w:t>contrôle, la préparation de rapports annuels de performance environnementale (</w:t>
      </w:r>
      <w:r w:rsidR="00022500" w:rsidRPr="00F927F4">
        <w:rPr>
          <w:lang w:val="fr-FR"/>
        </w:rPr>
        <w:t>AEPR</w:t>
      </w:r>
      <w:r w:rsidR="003F06C5" w:rsidRPr="00F927F4">
        <w:rPr>
          <w:lang w:val="fr-FR"/>
        </w:rPr>
        <w:t>) et de toute autre information supplémentaire.</w:t>
      </w:r>
    </w:p>
    <w:p w:rsidR="005C36C9" w:rsidRPr="00F927F4" w:rsidRDefault="005C36C9" w:rsidP="00F75743">
      <w:pPr>
        <w:rPr>
          <w:lang w:val="fr-FR"/>
        </w:rPr>
      </w:pPr>
    </w:p>
    <w:p w:rsidR="00227F98" w:rsidRPr="00F927F4" w:rsidRDefault="00BD58BF" w:rsidP="00F75743">
      <w:pPr>
        <w:rPr>
          <w:b/>
          <w:u w:val="single"/>
          <w:lang w:val="fr-FR"/>
        </w:rPr>
      </w:pPr>
      <w:r w:rsidRPr="00F927F4">
        <w:rPr>
          <w:b/>
          <w:u w:val="single"/>
          <w:lang w:val="fr-FR"/>
        </w:rPr>
        <w:t>1</w:t>
      </w:r>
      <w:r w:rsidRPr="00F927F4">
        <w:rPr>
          <w:b/>
          <w:u w:val="single"/>
          <w:vertAlign w:val="superscript"/>
          <w:lang w:val="fr-FR"/>
        </w:rPr>
        <w:t>e</w:t>
      </w:r>
      <w:r w:rsidRPr="00F927F4">
        <w:rPr>
          <w:b/>
          <w:u w:val="single"/>
          <w:lang w:val="fr-FR"/>
        </w:rPr>
        <w:t xml:space="preserve"> étape</w:t>
      </w:r>
      <w:r w:rsidR="003E10A8" w:rsidRPr="00F927F4">
        <w:rPr>
          <w:b/>
          <w:u w:val="single"/>
          <w:lang w:val="fr-FR"/>
        </w:rPr>
        <w:t xml:space="preserve">. </w:t>
      </w:r>
      <w:r w:rsidR="003F06C5" w:rsidRPr="00F927F4">
        <w:rPr>
          <w:b/>
          <w:u w:val="single"/>
          <w:lang w:val="fr-FR"/>
        </w:rPr>
        <w:t>Affectation de personnel au SGES</w:t>
      </w:r>
    </w:p>
    <w:p w:rsidR="005C36C9" w:rsidRPr="00F927F4" w:rsidRDefault="005C36C9" w:rsidP="00F75743">
      <w:pPr>
        <w:rPr>
          <w:lang w:val="fr-FR"/>
        </w:rPr>
      </w:pPr>
    </w:p>
    <w:tbl>
      <w:tblPr>
        <w:tblStyle w:val="TableGrid"/>
        <w:tblW w:w="1044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0"/>
        <w:gridCol w:w="1530"/>
        <w:gridCol w:w="1980"/>
        <w:gridCol w:w="2250"/>
        <w:gridCol w:w="1260"/>
        <w:gridCol w:w="1530"/>
      </w:tblGrid>
      <w:tr w:rsidR="00435AF8" w:rsidRPr="00F927F4" w:rsidTr="007A5D5A">
        <w:tc>
          <w:tcPr>
            <w:tcW w:w="1890" w:type="dxa"/>
          </w:tcPr>
          <w:p w:rsidR="00227F98" w:rsidRPr="00F927F4" w:rsidRDefault="00771833" w:rsidP="00F7574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Action</w:t>
            </w:r>
          </w:p>
        </w:tc>
        <w:tc>
          <w:tcPr>
            <w:tcW w:w="1530" w:type="dxa"/>
          </w:tcPr>
          <w:p w:rsidR="00227F98" w:rsidRPr="00F927F4" w:rsidRDefault="00227F98" w:rsidP="00207CFF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N</w:t>
            </w:r>
            <w:r w:rsidR="00207CFF" w:rsidRPr="00F927F4">
              <w:rPr>
                <w:b/>
                <w:sz w:val="20"/>
                <w:szCs w:val="20"/>
                <w:lang w:val="fr-FR"/>
              </w:rPr>
              <w:t xml:space="preserve">om </w:t>
            </w:r>
            <w:r w:rsidR="003F06C5" w:rsidRPr="00F927F4">
              <w:rPr>
                <w:b/>
                <w:sz w:val="20"/>
                <w:szCs w:val="20"/>
                <w:lang w:val="fr-FR"/>
              </w:rPr>
              <w:t>des personnes affectées</w:t>
            </w:r>
          </w:p>
        </w:tc>
        <w:tc>
          <w:tcPr>
            <w:tcW w:w="1980" w:type="dxa"/>
          </w:tcPr>
          <w:p w:rsidR="00227F98" w:rsidRPr="00F927F4" w:rsidRDefault="003F06C5" w:rsidP="003F06C5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Poste actuel à la Banque</w:t>
            </w:r>
            <w:r w:rsidR="00227F98" w:rsidRPr="00F927F4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50" w:type="dxa"/>
          </w:tcPr>
          <w:p w:rsidR="00E67398" w:rsidRPr="00F927F4" w:rsidRDefault="00E67398" w:rsidP="00F7574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Formation initiale/</w:t>
            </w:r>
          </w:p>
          <w:p w:rsidR="00E67398" w:rsidRPr="00F927F4" w:rsidRDefault="00E67398" w:rsidP="00F7574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qualifications/</w:t>
            </w:r>
          </w:p>
          <w:p w:rsidR="00227F98" w:rsidRPr="00F927F4" w:rsidRDefault="00E67398" w:rsidP="00F7574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formations spécialisées</w:t>
            </w:r>
          </w:p>
        </w:tc>
        <w:tc>
          <w:tcPr>
            <w:tcW w:w="1260" w:type="dxa"/>
          </w:tcPr>
          <w:p w:rsidR="00227F98" w:rsidRPr="00F927F4" w:rsidRDefault="00227F98" w:rsidP="00435AF8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Date</w:t>
            </w:r>
            <w:r w:rsidR="00E67398" w:rsidRPr="00F927F4">
              <w:rPr>
                <w:b/>
                <w:sz w:val="20"/>
                <w:szCs w:val="20"/>
                <w:lang w:val="fr-FR"/>
              </w:rPr>
              <w:t xml:space="preserve"> d</w:t>
            </w:r>
            <w:r w:rsidR="00435AF8" w:rsidRPr="00F927F4">
              <w:rPr>
                <w:b/>
                <w:sz w:val="20"/>
                <w:szCs w:val="20"/>
                <w:lang w:val="fr-FR"/>
              </w:rPr>
              <w:t>e démarrage</w:t>
            </w:r>
            <w:r w:rsidR="00E67398" w:rsidRPr="00F927F4">
              <w:rPr>
                <w:b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1530" w:type="dxa"/>
          </w:tcPr>
          <w:p w:rsidR="00227F98" w:rsidRPr="00F927F4" w:rsidRDefault="00227F98" w:rsidP="00E67398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Indication</w:t>
            </w:r>
            <w:r w:rsidR="00E67398" w:rsidRPr="00F927F4">
              <w:rPr>
                <w:b/>
                <w:sz w:val="20"/>
                <w:szCs w:val="20"/>
                <w:lang w:val="fr-FR"/>
              </w:rPr>
              <w:t xml:space="preserve"> d’achèvement</w:t>
            </w:r>
          </w:p>
        </w:tc>
      </w:tr>
      <w:tr w:rsidR="00435AF8" w:rsidRPr="00F927F4" w:rsidTr="007A5D5A">
        <w:trPr>
          <w:trHeight w:val="719"/>
        </w:trPr>
        <w:tc>
          <w:tcPr>
            <w:tcW w:w="1890" w:type="dxa"/>
          </w:tcPr>
          <w:p w:rsidR="008F6FD1" w:rsidRPr="00F927F4" w:rsidRDefault="008F6FD1" w:rsidP="00EF096D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1.1 Nom</w:t>
            </w:r>
            <w:r w:rsidR="00E67398" w:rsidRPr="00F927F4">
              <w:rPr>
                <w:sz w:val="20"/>
                <w:szCs w:val="20"/>
                <w:lang w:val="fr-FR"/>
              </w:rPr>
              <w:t xml:space="preserve">mer un </w:t>
            </w:r>
            <w:r w:rsidR="00EF096D" w:rsidRPr="00F927F4">
              <w:rPr>
                <w:sz w:val="20"/>
                <w:szCs w:val="20"/>
                <w:lang w:val="fr-FR"/>
              </w:rPr>
              <w:t xml:space="preserve">responsable du </w:t>
            </w:r>
            <w:r w:rsidR="00207CFF" w:rsidRPr="00F927F4">
              <w:rPr>
                <w:sz w:val="20"/>
                <w:szCs w:val="20"/>
                <w:lang w:val="fr-FR"/>
              </w:rPr>
              <w:t>SGES</w:t>
            </w:r>
          </w:p>
        </w:tc>
        <w:tc>
          <w:tcPr>
            <w:tcW w:w="153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vMerge w:val="restart"/>
          </w:tcPr>
          <w:p w:rsidR="008F6FD1" w:rsidRPr="00F927F4" w:rsidRDefault="00E67398" w:rsidP="00207CFF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Fournir à IFC une copie de la lettre officielle </w:t>
            </w:r>
            <w:r w:rsidR="00207CFF" w:rsidRPr="00F927F4">
              <w:rPr>
                <w:sz w:val="20"/>
                <w:szCs w:val="20"/>
                <w:lang w:val="fr-FR"/>
              </w:rPr>
              <w:t>d’affectation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435AF8" w:rsidRPr="00F927F4" w:rsidTr="007A5D5A">
        <w:trPr>
          <w:trHeight w:val="701"/>
        </w:trPr>
        <w:tc>
          <w:tcPr>
            <w:tcW w:w="1890" w:type="dxa"/>
          </w:tcPr>
          <w:p w:rsidR="008F6FD1" w:rsidRPr="00F927F4" w:rsidRDefault="008F6FD1" w:rsidP="00207CFF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1.2 N</w:t>
            </w:r>
            <w:r w:rsidR="00207CFF" w:rsidRPr="00F927F4">
              <w:rPr>
                <w:sz w:val="20"/>
                <w:szCs w:val="20"/>
                <w:lang w:val="fr-FR"/>
              </w:rPr>
              <w:t>ommer un coordinateur du SGES</w:t>
            </w:r>
          </w:p>
        </w:tc>
        <w:tc>
          <w:tcPr>
            <w:tcW w:w="153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vMerge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35AF8" w:rsidRPr="00F927F4" w:rsidTr="007A5D5A">
        <w:trPr>
          <w:trHeight w:val="701"/>
        </w:trPr>
        <w:tc>
          <w:tcPr>
            <w:tcW w:w="1890" w:type="dxa"/>
          </w:tcPr>
          <w:p w:rsidR="008F6FD1" w:rsidRPr="00F927F4" w:rsidRDefault="008F6FD1" w:rsidP="00EF096D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1.3 </w:t>
            </w:r>
            <w:r w:rsidR="00207CFF" w:rsidRPr="00F927F4">
              <w:rPr>
                <w:sz w:val="20"/>
                <w:szCs w:val="20"/>
                <w:lang w:val="fr-FR"/>
              </w:rPr>
              <w:t xml:space="preserve">Informer IFC en cas de </w:t>
            </w:r>
            <w:r w:rsidR="00435AF8" w:rsidRPr="00F927F4">
              <w:rPr>
                <w:sz w:val="20"/>
                <w:szCs w:val="20"/>
                <w:lang w:val="fr-FR"/>
              </w:rPr>
              <w:t xml:space="preserve">nomination d’un </w:t>
            </w:r>
            <w:r w:rsidR="00207CFF" w:rsidRPr="00F927F4">
              <w:rPr>
                <w:sz w:val="20"/>
                <w:szCs w:val="20"/>
                <w:lang w:val="fr-FR"/>
              </w:rPr>
              <w:t>rempla</w:t>
            </w:r>
            <w:r w:rsidR="00435AF8" w:rsidRPr="00F927F4">
              <w:rPr>
                <w:sz w:val="20"/>
                <w:szCs w:val="20"/>
                <w:lang w:val="fr-FR"/>
              </w:rPr>
              <w:t>çant</w:t>
            </w:r>
            <w:r w:rsidR="00207CFF" w:rsidRPr="00F927F4">
              <w:rPr>
                <w:sz w:val="20"/>
                <w:szCs w:val="20"/>
                <w:lang w:val="fr-FR"/>
              </w:rPr>
              <w:t xml:space="preserve"> du </w:t>
            </w:r>
            <w:r w:rsidR="00EF096D" w:rsidRPr="00F927F4">
              <w:rPr>
                <w:sz w:val="20"/>
                <w:szCs w:val="20"/>
                <w:lang w:val="fr-FR"/>
              </w:rPr>
              <w:t>responsable</w:t>
            </w:r>
            <w:r w:rsidR="00F73AD7" w:rsidRPr="00F927F4">
              <w:rPr>
                <w:sz w:val="20"/>
                <w:szCs w:val="20"/>
                <w:lang w:val="fr-FR"/>
              </w:rPr>
              <w:t xml:space="preserve"> d</w:t>
            </w:r>
            <w:r w:rsidR="00EF096D" w:rsidRPr="00F927F4">
              <w:rPr>
                <w:sz w:val="20"/>
                <w:szCs w:val="20"/>
                <w:lang w:val="fr-FR"/>
              </w:rPr>
              <w:t>u</w:t>
            </w:r>
            <w:r w:rsidR="00F73AD7" w:rsidRPr="00F927F4">
              <w:rPr>
                <w:sz w:val="20"/>
                <w:szCs w:val="20"/>
                <w:lang w:val="fr-FR"/>
              </w:rPr>
              <w:t xml:space="preserve"> </w:t>
            </w:r>
            <w:r w:rsidR="00207CFF" w:rsidRPr="00F927F4">
              <w:rPr>
                <w:sz w:val="20"/>
                <w:szCs w:val="20"/>
                <w:lang w:val="fr-FR"/>
              </w:rPr>
              <w:t>SGES ou du coordinateur du SGES</w:t>
            </w:r>
          </w:p>
        </w:tc>
        <w:tc>
          <w:tcPr>
            <w:tcW w:w="153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vMerge/>
          </w:tcPr>
          <w:p w:rsidR="008F6FD1" w:rsidRPr="00F927F4" w:rsidRDefault="008F6FD1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35AF8" w:rsidRPr="00F927F4" w:rsidTr="007A5D5A">
        <w:trPr>
          <w:trHeight w:val="701"/>
        </w:trPr>
        <w:tc>
          <w:tcPr>
            <w:tcW w:w="1890" w:type="dxa"/>
          </w:tcPr>
          <w:p w:rsidR="00013DB3" w:rsidRPr="00F927F4" w:rsidRDefault="004D6286" w:rsidP="002E721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1.4 Cr</w:t>
            </w:r>
            <w:r w:rsidR="00207CFF" w:rsidRPr="00F927F4">
              <w:rPr>
                <w:sz w:val="20"/>
                <w:szCs w:val="20"/>
                <w:lang w:val="fr-FR"/>
              </w:rPr>
              <w:t xml:space="preserve">éer un Groupe de travail </w:t>
            </w:r>
            <w:r w:rsidR="002E7213" w:rsidRPr="00F927F4">
              <w:rPr>
                <w:sz w:val="20"/>
                <w:szCs w:val="20"/>
                <w:lang w:val="fr-FR"/>
              </w:rPr>
              <w:t>chargé d’élaborer et mettre en œuvre le SGES</w:t>
            </w:r>
          </w:p>
        </w:tc>
        <w:tc>
          <w:tcPr>
            <w:tcW w:w="153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:rsidR="00013DB3" w:rsidRPr="00F927F4" w:rsidRDefault="00E67398" w:rsidP="00E6739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une liste des membres du Groupe de travail</w:t>
            </w:r>
          </w:p>
        </w:tc>
      </w:tr>
      <w:tr w:rsidR="00435AF8" w:rsidRPr="00F927F4" w:rsidTr="007A5D5A">
        <w:trPr>
          <w:trHeight w:val="701"/>
        </w:trPr>
        <w:tc>
          <w:tcPr>
            <w:tcW w:w="1890" w:type="dxa"/>
          </w:tcPr>
          <w:p w:rsidR="00013DB3" w:rsidRPr="00F927F4" w:rsidRDefault="00013DB3" w:rsidP="002E721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1.5 </w:t>
            </w:r>
            <w:r w:rsidR="002E7213" w:rsidRPr="00F927F4">
              <w:rPr>
                <w:sz w:val="20"/>
                <w:szCs w:val="20"/>
                <w:lang w:val="fr-FR"/>
              </w:rPr>
              <w:t>Si nécessaire, définir le mandat du consultant SGES</w:t>
            </w:r>
          </w:p>
        </w:tc>
        <w:tc>
          <w:tcPr>
            <w:tcW w:w="153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:rsidR="00013DB3" w:rsidRPr="00F927F4" w:rsidRDefault="00E67398" w:rsidP="00D4015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à IFC une copie d</w:t>
            </w:r>
            <w:r w:rsidR="00D40159">
              <w:rPr>
                <w:sz w:val="20"/>
                <w:szCs w:val="20"/>
                <w:lang w:val="fr-FR"/>
              </w:rPr>
              <w:t xml:space="preserve">es termes de référence </w:t>
            </w:r>
            <w:r w:rsidRPr="00F927F4">
              <w:rPr>
                <w:sz w:val="20"/>
                <w:szCs w:val="20"/>
                <w:lang w:val="fr-FR"/>
              </w:rPr>
              <w:t>du consultant SGES</w:t>
            </w:r>
          </w:p>
        </w:tc>
      </w:tr>
      <w:tr w:rsidR="00435AF8" w:rsidRPr="00F927F4" w:rsidTr="007A5D5A">
        <w:trPr>
          <w:trHeight w:val="701"/>
        </w:trPr>
        <w:tc>
          <w:tcPr>
            <w:tcW w:w="1890" w:type="dxa"/>
          </w:tcPr>
          <w:p w:rsidR="00013DB3" w:rsidRPr="00F927F4" w:rsidRDefault="00013DB3" w:rsidP="002E721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1.6 Re</w:t>
            </w:r>
            <w:r w:rsidR="002E7213" w:rsidRPr="00F927F4">
              <w:rPr>
                <w:sz w:val="20"/>
                <w:szCs w:val="20"/>
                <w:lang w:val="fr-FR"/>
              </w:rPr>
              <w:t xml:space="preserve">cruter un consultant SGES pour aider le Groupe de travail </w:t>
            </w:r>
          </w:p>
        </w:tc>
        <w:tc>
          <w:tcPr>
            <w:tcW w:w="153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</w:tcPr>
          <w:p w:rsidR="00013DB3" w:rsidRPr="00F927F4" w:rsidRDefault="00013DB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:rsidR="00013DB3" w:rsidRPr="00F927F4" w:rsidRDefault="00E67398" w:rsidP="00D4015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Fournir à IFC une copie du contrat </w:t>
            </w:r>
            <w:r w:rsidR="00D40159">
              <w:rPr>
                <w:sz w:val="20"/>
                <w:szCs w:val="20"/>
                <w:lang w:val="fr-FR"/>
              </w:rPr>
              <w:t xml:space="preserve">signé </w:t>
            </w:r>
            <w:r w:rsidRPr="00F927F4">
              <w:rPr>
                <w:sz w:val="20"/>
                <w:szCs w:val="20"/>
                <w:lang w:val="fr-FR"/>
              </w:rPr>
              <w:t>avec le consultant SGES</w:t>
            </w:r>
          </w:p>
        </w:tc>
      </w:tr>
      <w:tr w:rsidR="00227F98" w:rsidRPr="00F927F4" w:rsidTr="00F57005">
        <w:tc>
          <w:tcPr>
            <w:tcW w:w="10440" w:type="dxa"/>
            <w:gridSpan w:val="6"/>
          </w:tcPr>
          <w:p w:rsidR="00227F98" w:rsidRPr="00F927F4" w:rsidRDefault="002E7213" w:rsidP="00435AF8">
            <w:pPr>
              <w:pStyle w:val="ListParagraph"/>
              <w:ind w:left="0"/>
              <w:rPr>
                <w:sz w:val="18"/>
                <w:szCs w:val="18"/>
                <w:lang w:val="fr-FR"/>
              </w:rPr>
            </w:pPr>
            <w:r w:rsidRPr="00F927F4">
              <w:rPr>
                <w:sz w:val="18"/>
                <w:szCs w:val="18"/>
                <w:lang w:val="fr-FR"/>
              </w:rPr>
              <w:t xml:space="preserve">Ajouter des lignes si des personnes supplémentaires sont </w:t>
            </w:r>
            <w:r w:rsidR="00435AF8" w:rsidRPr="00F927F4">
              <w:rPr>
                <w:sz w:val="18"/>
                <w:szCs w:val="18"/>
                <w:lang w:val="fr-FR"/>
              </w:rPr>
              <w:t xml:space="preserve">affectées à l’élaboration </w:t>
            </w:r>
            <w:r w:rsidRPr="00F927F4">
              <w:rPr>
                <w:sz w:val="18"/>
                <w:szCs w:val="18"/>
                <w:lang w:val="fr-FR"/>
              </w:rPr>
              <w:t xml:space="preserve">et </w:t>
            </w:r>
            <w:r w:rsidR="00435AF8" w:rsidRPr="00F927F4">
              <w:rPr>
                <w:sz w:val="18"/>
                <w:szCs w:val="18"/>
                <w:lang w:val="fr-FR"/>
              </w:rPr>
              <w:t xml:space="preserve">à </w:t>
            </w:r>
            <w:r w:rsidRPr="00F927F4">
              <w:rPr>
                <w:sz w:val="18"/>
                <w:szCs w:val="18"/>
                <w:lang w:val="fr-FR"/>
              </w:rPr>
              <w:t>la mise en œuvre du SGES</w:t>
            </w:r>
            <w:r w:rsidR="00227F98" w:rsidRPr="00F927F4">
              <w:rPr>
                <w:sz w:val="18"/>
                <w:szCs w:val="18"/>
                <w:lang w:val="fr-FR"/>
              </w:rPr>
              <w:t>.</w:t>
            </w:r>
          </w:p>
        </w:tc>
      </w:tr>
    </w:tbl>
    <w:p w:rsidR="00E12BE9" w:rsidRPr="00F927F4" w:rsidRDefault="00E12BE9" w:rsidP="00F75743">
      <w:pPr>
        <w:pStyle w:val="ListParagraph"/>
        <w:rPr>
          <w:lang w:val="fr-FR"/>
        </w:rPr>
      </w:pPr>
    </w:p>
    <w:p w:rsidR="00227F98" w:rsidRPr="00F927F4" w:rsidRDefault="002E7213" w:rsidP="00F75743">
      <w:pPr>
        <w:rPr>
          <w:b/>
          <w:u w:val="single"/>
          <w:lang w:val="fr-FR"/>
        </w:rPr>
      </w:pPr>
      <w:r w:rsidRPr="00F927F4">
        <w:rPr>
          <w:b/>
          <w:u w:val="single"/>
          <w:lang w:val="fr-FR"/>
        </w:rPr>
        <w:t>2</w:t>
      </w:r>
      <w:r w:rsidRPr="00F927F4">
        <w:rPr>
          <w:b/>
          <w:u w:val="single"/>
          <w:vertAlign w:val="superscript"/>
          <w:lang w:val="fr-FR"/>
        </w:rPr>
        <w:t>e</w:t>
      </w:r>
      <w:r w:rsidRPr="00F927F4">
        <w:rPr>
          <w:b/>
          <w:u w:val="single"/>
          <w:lang w:val="fr-FR"/>
        </w:rPr>
        <w:t xml:space="preserve"> étape</w:t>
      </w:r>
      <w:r w:rsidR="00227F98" w:rsidRPr="00F927F4">
        <w:rPr>
          <w:b/>
          <w:u w:val="single"/>
          <w:lang w:val="fr-FR"/>
        </w:rPr>
        <w:t xml:space="preserve">. </w:t>
      </w:r>
      <w:r w:rsidRPr="00F927F4">
        <w:rPr>
          <w:b/>
          <w:u w:val="single"/>
          <w:lang w:val="fr-FR"/>
        </w:rPr>
        <w:t xml:space="preserve">Définition des principes et des procédures </w:t>
      </w:r>
      <w:r w:rsidR="001A3490" w:rsidRPr="00F927F4">
        <w:rPr>
          <w:b/>
          <w:u w:val="single"/>
          <w:lang w:val="fr-FR"/>
        </w:rPr>
        <w:t xml:space="preserve">pour le </w:t>
      </w:r>
      <w:r w:rsidRPr="00F927F4">
        <w:rPr>
          <w:b/>
          <w:u w:val="single"/>
          <w:lang w:val="fr-FR"/>
        </w:rPr>
        <w:t xml:space="preserve">SGES </w:t>
      </w:r>
      <w:r w:rsidR="00435AF8" w:rsidRPr="00F927F4">
        <w:rPr>
          <w:b/>
          <w:u w:val="single"/>
          <w:lang w:val="fr-FR"/>
        </w:rPr>
        <w:t xml:space="preserve">et </w:t>
      </w:r>
      <w:r w:rsidR="001A3490" w:rsidRPr="00F927F4">
        <w:rPr>
          <w:b/>
          <w:u w:val="single"/>
          <w:lang w:val="fr-FR"/>
        </w:rPr>
        <w:t xml:space="preserve">sa </w:t>
      </w:r>
      <w:r w:rsidR="00435AF8" w:rsidRPr="00F927F4">
        <w:rPr>
          <w:b/>
          <w:u w:val="single"/>
          <w:lang w:val="fr-FR"/>
        </w:rPr>
        <w:t xml:space="preserve">mise en œuvre </w:t>
      </w:r>
    </w:p>
    <w:p w:rsidR="00430083" w:rsidRPr="00F927F4" w:rsidRDefault="00430083" w:rsidP="00F75743">
      <w:pPr>
        <w:rPr>
          <w:b/>
          <w:u w:val="single"/>
          <w:lang w:val="fr-FR"/>
        </w:rPr>
      </w:pPr>
    </w:p>
    <w:tbl>
      <w:tblPr>
        <w:tblStyle w:val="TableGrid"/>
        <w:tblW w:w="1044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559"/>
        <w:gridCol w:w="1560"/>
        <w:gridCol w:w="1417"/>
        <w:gridCol w:w="1472"/>
        <w:gridCol w:w="2319"/>
      </w:tblGrid>
      <w:tr w:rsidR="00F913C9" w:rsidRPr="00F927F4" w:rsidTr="00435AF8">
        <w:tc>
          <w:tcPr>
            <w:tcW w:w="2113" w:type="dxa"/>
          </w:tcPr>
          <w:p w:rsidR="00771833" w:rsidRPr="00F927F4" w:rsidRDefault="00971965" w:rsidP="00971965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Action</w:t>
            </w:r>
          </w:p>
        </w:tc>
        <w:tc>
          <w:tcPr>
            <w:tcW w:w="1559" w:type="dxa"/>
          </w:tcPr>
          <w:p w:rsidR="00771833" w:rsidRPr="00F927F4" w:rsidRDefault="00F75743" w:rsidP="002E721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Person</w:t>
            </w:r>
            <w:r w:rsidR="002E7213" w:rsidRPr="00F927F4">
              <w:rPr>
                <w:b/>
                <w:sz w:val="20"/>
                <w:szCs w:val="20"/>
                <w:lang w:val="fr-FR"/>
              </w:rPr>
              <w:t>ne(s) responsable</w:t>
            </w:r>
            <w:r w:rsidR="00553704" w:rsidRPr="00F927F4">
              <w:rPr>
                <w:b/>
                <w:sz w:val="20"/>
                <w:szCs w:val="20"/>
                <w:lang w:val="fr-FR"/>
              </w:rPr>
              <w:t>(</w:t>
            </w:r>
            <w:r w:rsidRPr="00F927F4">
              <w:rPr>
                <w:b/>
                <w:sz w:val="20"/>
                <w:szCs w:val="20"/>
                <w:lang w:val="fr-FR"/>
              </w:rPr>
              <w:t>s</w:t>
            </w:r>
            <w:r w:rsidR="00553704" w:rsidRPr="00F927F4">
              <w:rPr>
                <w:b/>
                <w:sz w:val="20"/>
                <w:szCs w:val="20"/>
                <w:lang w:val="fr-FR"/>
              </w:rPr>
              <w:t>)</w:t>
            </w:r>
            <w:r w:rsidRPr="00F927F4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:rsidR="00771833" w:rsidRPr="00F927F4" w:rsidRDefault="002E7213" w:rsidP="002E721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 xml:space="preserve">Date de démarrage </w:t>
            </w: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>prévue</w:t>
            </w:r>
          </w:p>
        </w:tc>
        <w:tc>
          <w:tcPr>
            <w:tcW w:w="1417" w:type="dxa"/>
          </w:tcPr>
          <w:p w:rsidR="00771833" w:rsidRPr="00F927F4" w:rsidRDefault="002E7213" w:rsidP="002E721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 xml:space="preserve">Date d’achèvement </w:t>
            </w: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>prévue</w:t>
            </w:r>
          </w:p>
        </w:tc>
        <w:tc>
          <w:tcPr>
            <w:tcW w:w="1472" w:type="dxa"/>
          </w:tcPr>
          <w:p w:rsidR="00771833" w:rsidRPr="00F927F4" w:rsidRDefault="002E7213" w:rsidP="00F7574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>Résultat à produire</w:t>
            </w:r>
          </w:p>
        </w:tc>
        <w:tc>
          <w:tcPr>
            <w:tcW w:w="2319" w:type="dxa"/>
          </w:tcPr>
          <w:p w:rsidR="002E7213" w:rsidRPr="00F927F4" w:rsidRDefault="00F75743" w:rsidP="002E721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 xml:space="preserve">Indication </w:t>
            </w:r>
            <w:r w:rsidR="002E7213" w:rsidRPr="00F927F4">
              <w:rPr>
                <w:b/>
                <w:sz w:val="20"/>
                <w:szCs w:val="20"/>
                <w:lang w:val="fr-FR"/>
              </w:rPr>
              <w:t>d’achèvement</w:t>
            </w:r>
          </w:p>
          <w:p w:rsidR="00F75743" w:rsidRPr="00F927F4" w:rsidRDefault="00F75743" w:rsidP="00F75743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  <w:tr w:rsidR="00F913C9" w:rsidRPr="00F927F4" w:rsidTr="00435AF8">
        <w:trPr>
          <w:trHeight w:val="980"/>
        </w:trPr>
        <w:tc>
          <w:tcPr>
            <w:tcW w:w="2113" w:type="dxa"/>
          </w:tcPr>
          <w:p w:rsidR="00F75743" w:rsidRPr="00F927F4" w:rsidRDefault="00F64DC6" w:rsidP="00D4015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lastRenderedPageBreak/>
              <w:t xml:space="preserve">2.1 </w:t>
            </w:r>
            <w:r w:rsidR="00C95CFD" w:rsidRPr="00F927F4">
              <w:rPr>
                <w:sz w:val="20"/>
                <w:szCs w:val="20"/>
                <w:lang w:val="fr-FR"/>
              </w:rPr>
              <w:t>Examiner les documents d</w:t>
            </w:r>
            <w:r w:rsidR="00435AF8" w:rsidRPr="00F927F4">
              <w:rPr>
                <w:sz w:val="20"/>
                <w:szCs w:val="20"/>
                <w:lang w:val="fr-FR"/>
              </w:rPr>
              <w:t>’</w:t>
            </w:r>
            <w:r w:rsidR="00D40159">
              <w:rPr>
                <w:sz w:val="20"/>
                <w:szCs w:val="20"/>
                <w:lang w:val="fr-FR"/>
              </w:rPr>
              <w:t>orientation</w:t>
            </w:r>
            <w:r w:rsidR="00435AF8" w:rsidRPr="00F927F4">
              <w:rPr>
                <w:sz w:val="20"/>
                <w:szCs w:val="20"/>
                <w:lang w:val="fr-FR"/>
              </w:rPr>
              <w:t xml:space="preserve"> </w:t>
            </w:r>
            <w:r w:rsidR="00C95CFD" w:rsidRPr="00F927F4">
              <w:rPr>
                <w:sz w:val="20"/>
                <w:szCs w:val="20"/>
                <w:lang w:val="fr-FR"/>
              </w:rPr>
              <w:t>fournis par le(s) spécialiste(s) E&amp;S d’IFC</w:t>
            </w:r>
          </w:p>
        </w:tc>
        <w:tc>
          <w:tcPr>
            <w:tcW w:w="1559" w:type="dxa"/>
          </w:tcPr>
          <w:p w:rsidR="00F75743" w:rsidRPr="00F927F4" w:rsidRDefault="00F7574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F75743" w:rsidRPr="00F927F4" w:rsidRDefault="00F7574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F75743" w:rsidRPr="00F927F4" w:rsidRDefault="00F7574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F75743" w:rsidRPr="00F927F4" w:rsidRDefault="00C95CFD" w:rsidP="00C95CFD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Liste de questions et d’observations</w:t>
            </w:r>
          </w:p>
        </w:tc>
        <w:tc>
          <w:tcPr>
            <w:tcW w:w="2319" w:type="dxa"/>
          </w:tcPr>
          <w:p w:rsidR="00F75743" w:rsidRPr="00F927F4" w:rsidRDefault="00F64DC6" w:rsidP="001A3490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Contact</w:t>
            </w:r>
            <w:r w:rsidR="00C95CFD" w:rsidRPr="00F927F4">
              <w:rPr>
                <w:sz w:val="20"/>
                <w:szCs w:val="20"/>
                <w:lang w:val="fr-FR"/>
              </w:rPr>
              <w:t>er le</w:t>
            </w:r>
            <w:r w:rsidR="00435AF8" w:rsidRPr="00F927F4">
              <w:rPr>
                <w:sz w:val="20"/>
                <w:szCs w:val="20"/>
                <w:lang w:val="fr-FR"/>
              </w:rPr>
              <w:t xml:space="preserve"> ou le</w:t>
            </w:r>
            <w:r w:rsidR="00C95CFD" w:rsidRPr="00F927F4">
              <w:rPr>
                <w:sz w:val="20"/>
                <w:szCs w:val="20"/>
                <w:lang w:val="fr-FR"/>
              </w:rPr>
              <w:t>s</w:t>
            </w:r>
            <w:r w:rsidR="00435AF8" w:rsidRPr="00F927F4">
              <w:rPr>
                <w:sz w:val="20"/>
                <w:szCs w:val="20"/>
                <w:lang w:val="fr-FR"/>
              </w:rPr>
              <w:t xml:space="preserve"> spécialistes</w:t>
            </w:r>
            <w:r w:rsidR="00C95CFD" w:rsidRPr="00F927F4">
              <w:rPr>
                <w:sz w:val="20"/>
                <w:szCs w:val="20"/>
                <w:lang w:val="fr-FR"/>
              </w:rPr>
              <w:t xml:space="preserve"> E&amp;S d’</w:t>
            </w:r>
            <w:r w:rsidRPr="00F927F4">
              <w:rPr>
                <w:sz w:val="20"/>
                <w:szCs w:val="20"/>
                <w:lang w:val="fr-FR"/>
              </w:rPr>
              <w:t xml:space="preserve">IFC </w:t>
            </w:r>
            <w:r w:rsidR="00435AF8" w:rsidRPr="00F927F4">
              <w:rPr>
                <w:sz w:val="20"/>
                <w:szCs w:val="20"/>
                <w:lang w:val="fr-FR"/>
              </w:rPr>
              <w:t>pour leur</w:t>
            </w:r>
            <w:r w:rsidR="00C95CFD" w:rsidRPr="00F927F4">
              <w:rPr>
                <w:sz w:val="20"/>
                <w:szCs w:val="20"/>
                <w:lang w:val="fr-FR"/>
              </w:rPr>
              <w:t xml:space="preserve"> soumettre les </w:t>
            </w:r>
            <w:r w:rsidR="002A5DCE" w:rsidRPr="00F927F4">
              <w:rPr>
                <w:sz w:val="20"/>
                <w:szCs w:val="20"/>
                <w:lang w:val="fr-FR"/>
              </w:rPr>
              <w:t xml:space="preserve">questions </w:t>
            </w:r>
            <w:r w:rsidR="00C95CFD" w:rsidRPr="00F927F4">
              <w:rPr>
                <w:sz w:val="20"/>
                <w:szCs w:val="20"/>
                <w:lang w:val="fr-FR"/>
              </w:rPr>
              <w:t>et</w:t>
            </w:r>
            <w:r w:rsidR="00917D24" w:rsidRPr="00F927F4">
              <w:rPr>
                <w:sz w:val="20"/>
                <w:szCs w:val="20"/>
                <w:lang w:val="fr-FR"/>
              </w:rPr>
              <w:t>/o</w:t>
            </w:r>
            <w:r w:rsidR="00C95CFD" w:rsidRPr="00F927F4">
              <w:rPr>
                <w:sz w:val="20"/>
                <w:szCs w:val="20"/>
                <w:lang w:val="fr-FR"/>
              </w:rPr>
              <w:t>u</w:t>
            </w:r>
            <w:r w:rsidR="002A5DCE" w:rsidRPr="00F927F4">
              <w:rPr>
                <w:sz w:val="20"/>
                <w:szCs w:val="20"/>
                <w:lang w:val="fr-FR"/>
              </w:rPr>
              <w:t xml:space="preserve"> </w:t>
            </w:r>
            <w:r w:rsidR="00C95CFD" w:rsidRPr="00F927F4">
              <w:rPr>
                <w:sz w:val="20"/>
                <w:szCs w:val="20"/>
                <w:lang w:val="fr-FR"/>
              </w:rPr>
              <w:t xml:space="preserve">observations </w:t>
            </w:r>
            <w:r w:rsidR="001A3490" w:rsidRPr="00F927F4">
              <w:rPr>
                <w:sz w:val="20"/>
                <w:szCs w:val="20"/>
                <w:lang w:val="fr-FR"/>
              </w:rPr>
              <w:t xml:space="preserve">soulevées </w:t>
            </w:r>
            <w:r w:rsidR="00C95CFD" w:rsidRPr="00F927F4">
              <w:rPr>
                <w:sz w:val="20"/>
                <w:szCs w:val="20"/>
                <w:lang w:val="fr-FR"/>
              </w:rPr>
              <w:t>pendant le processus d’examen des documents</w:t>
            </w:r>
          </w:p>
        </w:tc>
      </w:tr>
      <w:tr w:rsidR="00F913C9" w:rsidRPr="00F927F4" w:rsidTr="00435AF8">
        <w:trPr>
          <w:trHeight w:val="980"/>
        </w:trPr>
        <w:tc>
          <w:tcPr>
            <w:tcW w:w="2113" w:type="dxa"/>
          </w:tcPr>
          <w:p w:rsidR="00771833" w:rsidRPr="00F927F4" w:rsidRDefault="00771833" w:rsidP="00EA7FF0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</w:t>
            </w:r>
            <w:r w:rsidR="00F64DC6" w:rsidRPr="00F927F4">
              <w:rPr>
                <w:sz w:val="20"/>
                <w:szCs w:val="20"/>
                <w:lang w:val="fr-FR"/>
              </w:rPr>
              <w:t>2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  <w:r w:rsidR="00EB0934" w:rsidRPr="00F927F4">
              <w:rPr>
                <w:sz w:val="20"/>
                <w:szCs w:val="20"/>
                <w:lang w:val="fr-FR"/>
              </w:rPr>
              <w:t>Formul</w:t>
            </w:r>
            <w:r w:rsidR="004C36FF" w:rsidRPr="00F927F4">
              <w:rPr>
                <w:sz w:val="20"/>
                <w:szCs w:val="20"/>
                <w:lang w:val="fr-FR"/>
              </w:rPr>
              <w:t>er un</w:t>
            </w:r>
            <w:r w:rsidR="00EA7FF0" w:rsidRPr="00F927F4">
              <w:rPr>
                <w:sz w:val="20"/>
                <w:szCs w:val="20"/>
                <w:lang w:val="fr-FR"/>
              </w:rPr>
              <w:t>e</w:t>
            </w:r>
            <w:r w:rsidR="00C95CFD" w:rsidRPr="00F927F4">
              <w:rPr>
                <w:sz w:val="20"/>
                <w:szCs w:val="20"/>
                <w:lang w:val="fr-FR"/>
              </w:rPr>
              <w:t xml:space="preserve"> </w:t>
            </w:r>
            <w:r w:rsidR="004C36FF" w:rsidRPr="00F927F4">
              <w:rPr>
                <w:sz w:val="20"/>
                <w:szCs w:val="20"/>
                <w:lang w:val="fr-FR"/>
              </w:rPr>
              <w:t>D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éclaration </w:t>
            </w:r>
            <w:r w:rsidR="00C95CFD" w:rsidRPr="00F927F4">
              <w:rPr>
                <w:sz w:val="20"/>
                <w:szCs w:val="20"/>
                <w:lang w:val="fr-FR"/>
              </w:rPr>
              <w:t xml:space="preserve">de </w:t>
            </w:r>
            <w:r w:rsidR="004C36FF" w:rsidRPr="00F927F4">
              <w:rPr>
                <w:sz w:val="20"/>
                <w:szCs w:val="20"/>
                <w:lang w:val="fr-FR"/>
              </w:rPr>
              <w:t>politique environnementale</w:t>
            </w:r>
            <w:r w:rsidR="00C95CFD" w:rsidRPr="00F927F4">
              <w:rPr>
                <w:sz w:val="20"/>
                <w:szCs w:val="20"/>
                <w:lang w:val="fr-FR"/>
              </w:rPr>
              <w:t xml:space="preserve"> et socia</w:t>
            </w:r>
            <w:r w:rsidR="004C36FF" w:rsidRPr="00F927F4">
              <w:rPr>
                <w:sz w:val="20"/>
                <w:szCs w:val="20"/>
                <w:lang w:val="fr-FR"/>
              </w:rPr>
              <w:t>le</w:t>
            </w:r>
          </w:p>
        </w:tc>
        <w:tc>
          <w:tcPr>
            <w:tcW w:w="1559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771833" w:rsidRPr="00F927F4" w:rsidRDefault="004C36FF" w:rsidP="00FB56F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D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éclaration </w:t>
            </w:r>
            <w:r w:rsidR="00FB56F3">
              <w:rPr>
                <w:sz w:val="20"/>
                <w:szCs w:val="20"/>
                <w:lang w:val="fr-FR"/>
              </w:rPr>
              <w:t xml:space="preserve">d’orientation pour </w:t>
            </w:r>
            <w:r w:rsidR="00C95CFD" w:rsidRPr="00F927F4">
              <w:rPr>
                <w:sz w:val="20"/>
                <w:szCs w:val="20"/>
                <w:lang w:val="fr-FR"/>
              </w:rPr>
              <w:t>le SGES</w:t>
            </w:r>
          </w:p>
        </w:tc>
        <w:tc>
          <w:tcPr>
            <w:tcW w:w="2319" w:type="dxa"/>
          </w:tcPr>
          <w:p w:rsidR="00771833" w:rsidRPr="00F927F4" w:rsidRDefault="00971965" w:rsidP="00FB56F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</w:t>
            </w:r>
            <w:r w:rsidR="0011162B" w:rsidRPr="00F927F4">
              <w:rPr>
                <w:sz w:val="20"/>
                <w:szCs w:val="20"/>
                <w:lang w:val="fr-FR"/>
              </w:rPr>
              <w:t xml:space="preserve"> 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à IFC </w:t>
            </w:r>
            <w:r w:rsidR="004C36FF" w:rsidRPr="00F927F4">
              <w:rPr>
                <w:sz w:val="20"/>
                <w:szCs w:val="20"/>
                <w:lang w:val="fr-FR"/>
              </w:rPr>
              <w:t>un projet de D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éclaration </w:t>
            </w:r>
            <w:r w:rsidR="00FB56F3">
              <w:rPr>
                <w:sz w:val="20"/>
                <w:szCs w:val="20"/>
                <w:lang w:val="fr-FR"/>
              </w:rPr>
              <w:t xml:space="preserve">d’orientation </w:t>
            </w:r>
            <w:r w:rsidR="004C36FF" w:rsidRPr="00F927F4">
              <w:rPr>
                <w:sz w:val="20"/>
                <w:szCs w:val="20"/>
                <w:lang w:val="fr-FR"/>
              </w:rPr>
              <w:t xml:space="preserve">pour examen et commentaires </w:t>
            </w:r>
          </w:p>
        </w:tc>
      </w:tr>
      <w:tr w:rsidR="00F913C9" w:rsidRPr="00F927F4" w:rsidTr="00435AF8">
        <w:tc>
          <w:tcPr>
            <w:tcW w:w="2113" w:type="dxa"/>
          </w:tcPr>
          <w:p w:rsidR="00771833" w:rsidRPr="00F927F4" w:rsidRDefault="00771833" w:rsidP="0023331E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</w:t>
            </w:r>
            <w:r w:rsidR="00F64DC6" w:rsidRPr="00F927F4">
              <w:rPr>
                <w:sz w:val="20"/>
                <w:szCs w:val="20"/>
                <w:lang w:val="fr-FR"/>
              </w:rPr>
              <w:t>3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  <w:r w:rsidR="004C36FF" w:rsidRPr="00F927F4">
              <w:rPr>
                <w:sz w:val="20"/>
                <w:szCs w:val="20"/>
                <w:lang w:val="fr-FR"/>
              </w:rPr>
              <w:t xml:space="preserve">Élaborer des procédures d’évaluation et de suivi </w:t>
            </w:r>
            <w:r w:rsidR="0023331E" w:rsidRPr="00F927F4">
              <w:rPr>
                <w:sz w:val="20"/>
                <w:szCs w:val="20"/>
                <w:lang w:val="fr-FR"/>
              </w:rPr>
              <w:t>des risques pour le SGES</w:t>
            </w:r>
          </w:p>
        </w:tc>
        <w:tc>
          <w:tcPr>
            <w:tcW w:w="1559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771833" w:rsidRPr="00F927F4" w:rsidRDefault="0023331E" w:rsidP="0023331E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Procédures d’évaluation et de suivi du SGES</w:t>
            </w:r>
          </w:p>
        </w:tc>
        <w:tc>
          <w:tcPr>
            <w:tcW w:w="2319" w:type="dxa"/>
          </w:tcPr>
          <w:p w:rsidR="00771833" w:rsidRPr="00F927F4" w:rsidRDefault="00971965" w:rsidP="00EA7FF0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</w:t>
            </w:r>
            <w:r w:rsidR="0011162B" w:rsidRPr="00F927F4">
              <w:rPr>
                <w:sz w:val="20"/>
                <w:szCs w:val="20"/>
                <w:lang w:val="fr-FR"/>
              </w:rPr>
              <w:t xml:space="preserve"> 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à IFC </w:t>
            </w:r>
            <w:r w:rsidR="0023331E" w:rsidRPr="00F927F4">
              <w:rPr>
                <w:sz w:val="20"/>
                <w:szCs w:val="20"/>
                <w:lang w:val="fr-FR"/>
              </w:rPr>
              <w:t xml:space="preserve">un projet de Procédures d’évaluation et de suivi pour examen et commentaires </w:t>
            </w:r>
          </w:p>
        </w:tc>
      </w:tr>
      <w:tr w:rsidR="00F913C9" w:rsidRPr="00F927F4" w:rsidTr="00435AF8">
        <w:tc>
          <w:tcPr>
            <w:tcW w:w="2113" w:type="dxa"/>
          </w:tcPr>
          <w:p w:rsidR="005C2CE9" w:rsidRPr="00F927F4" w:rsidRDefault="005C2CE9" w:rsidP="001A3490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2.4 </w:t>
            </w:r>
            <w:r w:rsidR="0023331E" w:rsidRPr="00F927F4">
              <w:rPr>
                <w:sz w:val="20"/>
                <w:szCs w:val="20"/>
                <w:lang w:val="fr-FR"/>
              </w:rPr>
              <w:t xml:space="preserve">Élaborer une procédure </w:t>
            </w:r>
            <w:r w:rsidR="00B11A55" w:rsidRPr="00F927F4">
              <w:rPr>
                <w:sz w:val="20"/>
                <w:szCs w:val="20"/>
                <w:lang w:val="fr-FR"/>
              </w:rPr>
              <w:t xml:space="preserve">interne </w:t>
            </w:r>
            <w:r w:rsidR="0023331E" w:rsidRPr="00F927F4">
              <w:rPr>
                <w:sz w:val="20"/>
                <w:szCs w:val="20"/>
                <w:lang w:val="fr-FR"/>
              </w:rPr>
              <w:t>d’analyse et d</w:t>
            </w:r>
            <w:r w:rsidR="00B11A55" w:rsidRPr="00F927F4">
              <w:rPr>
                <w:sz w:val="20"/>
                <w:szCs w:val="20"/>
                <w:lang w:val="fr-FR"/>
              </w:rPr>
              <w:t xml:space="preserve">’établissement </w:t>
            </w:r>
            <w:r w:rsidR="0023331E" w:rsidRPr="00F927F4">
              <w:rPr>
                <w:sz w:val="20"/>
                <w:szCs w:val="20"/>
                <w:lang w:val="fr-FR"/>
              </w:rPr>
              <w:t xml:space="preserve">de rapports afin de suivre l’évolution de la législation 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E&amp;S </w:t>
            </w:r>
            <w:r w:rsidR="0023331E" w:rsidRPr="00F927F4">
              <w:rPr>
                <w:sz w:val="20"/>
                <w:szCs w:val="20"/>
                <w:lang w:val="fr-FR"/>
              </w:rPr>
              <w:t xml:space="preserve">nationale et </w:t>
            </w:r>
            <w:r w:rsidR="001A3490" w:rsidRPr="00F927F4">
              <w:rPr>
                <w:sz w:val="20"/>
                <w:szCs w:val="20"/>
                <w:lang w:val="fr-FR"/>
              </w:rPr>
              <w:t xml:space="preserve">d’assurer l’amélioration continue </w:t>
            </w:r>
            <w:r w:rsidR="0023331E" w:rsidRPr="00F927F4">
              <w:rPr>
                <w:sz w:val="20"/>
                <w:szCs w:val="20"/>
                <w:lang w:val="fr-FR"/>
              </w:rPr>
              <w:t>du SGES</w:t>
            </w:r>
          </w:p>
        </w:tc>
        <w:tc>
          <w:tcPr>
            <w:tcW w:w="1559" w:type="dxa"/>
          </w:tcPr>
          <w:p w:rsidR="005C2CE9" w:rsidRPr="00F927F4" w:rsidRDefault="005C2CE9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5C2CE9" w:rsidRPr="00F927F4" w:rsidRDefault="005C2CE9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C2CE9" w:rsidRPr="00F927F4" w:rsidRDefault="005C2CE9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5C2CE9" w:rsidRPr="00F927F4" w:rsidRDefault="00B11A55" w:rsidP="00B11A55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Procédure interne d’établissement de rapports et d’actualisation pour mettre à jour le SGES</w:t>
            </w:r>
          </w:p>
        </w:tc>
        <w:tc>
          <w:tcPr>
            <w:tcW w:w="2319" w:type="dxa"/>
          </w:tcPr>
          <w:p w:rsidR="005C2CE9" w:rsidRPr="00F927F4" w:rsidRDefault="00971965" w:rsidP="0011162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</w:t>
            </w:r>
            <w:r w:rsidR="0011162B" w:rsidRPr="00F927F4">
              <w:rPr>
                <w:sz w:val="20"/>
                <w:szCs w:val="20"/>
                <w:lang w:val="fr-FR"/>
              </w:rPr>
              <w:t xml:space="preserve"> </w:t>
            </w:r>
            <w:r w:rsidR="00B11A55" w:rsidRPr="00F927F4">
              <w:rPr>
                <w:sz w:val="20"/>
                <w:szCs w:val="20"/>
                <w:lang w:val="fr-FR"/>
              </w:rPr>
              <w:t xml:space="preserve">à IFC un projet de la procédure </w:t>
            </w:r>
          </w:p>
        </w:tc>
      </w:tr>
      <w:tr w:rsidR="00F913C9" w:rsidRPr="00F927F4" w:rsidTr="00435AF8">
        <w:tc>
          <w:tcPr>
            <w:tcW w:w="2113" w:type="dxa"/>
          </w:tcPr>
          <w:p w:rsidR="00CD43FA" w:rsidRPr="00F927F4" w:rsidRDefault="00CD43FA" w:rsidP="0011162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2.5 Finali</w:t>
            </w:r>
            <w:r w:rsidR="0011162B" w:rsidRPr="00F927F4">
              <w:rPr>
                <w:sz w:val="20"/>
                <w:szCs w:val="20"/>
                <w:lang w:val="fr-FR"/>
              </w:rPr>
              <w:t>ser la politique et les procédures du SGES en intégrant les commentaires et les recommandations d’IFC</w:t>
            </w:r>
          </w:p>
        </w:tc>
        <w:tc>
          <w:tcPr>
            <w:tcW w:w="1559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319" w:type="dxa"/>
            <w:vMerge w:val="restart"/>
          </w:tcPr>
          <w:p w:rsidR="00CD43FA" w:rsidRPr="00F927F4" w:rsidRDefault="00971965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</w:t>
            </w:r>
            <w:r w:rsidR="0011162B" w:rsidRPr="00F927F4">
              <w:rPr>
                <w:sz w:val="20"/>
                <w:szCs w:val="20"/>
                <w:lang w:val="fr-FR"/>
              </w:rPr>
              <w:t xml:space="preserve"> à IFC la version finale des documents du SGES </w:t>
            </w:r>
          </w:p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F913C9" w:rsidRPr="00F927F4" w:rsidTr="00435AF8">
        <w:tc>
          <w:tcPr>
            <w:tcW w:w="2113" w:type="dxa"/>
          </w:tcPr>
          <w:p w:rsidR="00CD43FA" w:rsidRPr="00F927F4" w:rsidRDefault="00CD43FA" w:rsidP="004A5F7C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2.6 In</w:t>
            </w:r>
            <w:r w:rsidR="004A5F7C" w:rsidRPr="00F927F4">
              <w:rPr>
                <w:sz w:val="20"/>
                <w:szCs w:val="20"/>
                <w:lang w:val="fr-FR"/>
              </w:rPr>
              <w:t>tégrer la Liste des exclusions d’IFC</w:t>
            </w:r>
          </w:p>
        </w:tc>
        <w:tc>
          <w:tcPr>
            <w:tcW w:w="1559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319" w:type="dxa"/>
            <w:vMerge/>
          </w:tcPr>
          <w:p w:rsidR="00CD43FA" w:rsidRPr="00F927F4" w:rsidRDefault="00CD43FA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F913C9" w:rsidRPr="00F927F4" w:rsidTr="00435AF8">
        <w:tc>
          <w:tcPr>
            <w:tcW w:w="2113" w:type="dxa"/>
          </w:tcPr>
          <w:p w:rsidR="00771833" w:rsidRPr="00F927F4" w:rsidRDefault="009733B1" w:rsidP="00455DCD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2.7</w:t>
            </w:r>
            <w:r w:rsidR="00F64DC6" w:rsidRPr="00F927F4">
              <w:rPr>
                <w:sz w:val="20"/>
                <w:szCs w:val="20"/>
                <w:lang w:val="fr-FR"/>
              </w:rPr>
              <w:t xml:space="preserve"> </w:t>
            </w:r>
            <w:r w:rsidR="00455DCD" w:rsidRPr="00F927F4">
              <w:rPr>
                <w:sz w:val="20"/>
                <w:szCs w:val="20"/>
                <w:lang w:val="fr-FR"/>
              </w:rPr>
              <w:t>Approbation et autorisation de la direction</w:t>
            </w:r>
          </w:p>
        </w:tc>
        <w:tc>
          <w:tcPr>
            <w:tcW w:w="1559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771833" w:rsidRPr="00F927F4" w:rsidRDefault="00771833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771833" w:rsidRPr="00F927F4" w:rsidRDefault="00156E69" w:rsidP="00156E6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Décision d’approbation de la direction</w:t>
            </w:r>
          </w:p>
        </w:tc>
        <w:tc>
          <w:tcPr>
            <w:tcW w:w="2319" w:type="dxa"/>
          </w:tcPr>
          <w:p w:rsidR="00771833" w:rsidRPr="00F927F4" w:rsidRDefault="00971965" w:rsidP="00156E6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</w:t>
            </w:r>
            <w:r w:rsidR="00156E69" w:rsidRPr="00F927F4">
              <w:rPr>
                <w:sz w:val="20"/>
                <w:szCs w:val="20"/>
                <w:lang w:val="fr-FR"/>
              </w:rPr>
              <w:t xml:space="preserve"> à IFC une copie de la décision de la direction</w:t>
            </w:r>
          </w:p>
        </w:tc>
      </w:tr>
      <w:tr w:rsidR="00F913C9" w:rsidRPr="00F927F4" w:rsidTr="00435AF8">
        <w:tc>
          <w:tcPr>
            <w:tcW w:w="2113" w:type="dxa"/>
          </w:tcPr>
          <w:p w:rsidR="004524BE" w:rsidRPr="00F927F4" w:rsidRDefault="009733B1" w:rsidP="00F913C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2.8</w:t>
            </w:r>
            <w:r w:rsidR="004524BE" w:rsidRPr="00F927F4">
              <w:rPr>
                <w:sz w:val="20"/>
                <w:szCs w:val="20"/>
                <w:lang w:val="fr-FR"/>
              </w:rPr>
              <w:t xml:space="preserve"> </w:t>
            </w:r>
            <w:r w:rsidR="00455DCD" w:rsidRPr="00F927F4">
              <w:rPr>
                <w:sz w:val="20"/>
                <w:szCs w:val="20"/>
                <w:lang w:val="fr-FR"/>
              </w:rPr>
              <w:t xml:space="preserve">Évaluation des éventuelles modifications à apporter au </w:t>
            </w:r>
            <w:r w:rsidR="003B6F63" w:rsidRPr="00F927F4">
              <w:rPr>
                <w:sz w:val="20"/>
                <w:szCs w:val="20"/>
                <w:lang w:val="fr-FR"/>
              </w:rPr>
              <w:t>sy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stème </w:t>
            </w:r>
            <w:r w:rsidR="00F913C9" w:rsidRPr="00F927F4">
              <w:rPr>
                <w:sz w:val="20"/>
                <w:szCs w:val="20"/>
                <w:lang w:val="fr-FR"/>
              </w:rPr>
              <w:t xml:space="preserve">d’information </w:t>
            </w:r>
            <w:r w:rsidR="00EA7FF0" w:rsidRPr="00F927F4">
              <w:rPr>
                <w:sz w:val="20"/>
                <w:szCs w:val="20"/>
                <w:lang w:val="fr-FR"/>
              </w:rPr>
              <w:t>de gestion de la b</w:t>
            </w:r>
            <w:r w:rsidR="003B6F63" w:rsidRPr="00F927F4">
              <w:rPr>
                <w:sz w:val="20"/>
                <w:szCs w:val="20"/>
                <w:lang w:val="fr-FR"/>
              </w:rPr>
              <w:t>anque pour pouvoir mettre en œuvre le SGES</w:t>
            </w:r>
          </w:p>
        </w:tc>
        <w:tc>
          <w:tcPr>
            <w:tcW w:w="1559" w:type="dxa"/>
          </w:tcPr>
          <w:p w:rsidR="004524BE" w:rsidRPr="00F927F4" w:rsidRDefault="004524BE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4524BE" w:rsidRPr="00F927F4" w:rsidRDefault="004524BE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4524BE" w:rsidRPr="00F927F4" w:rsidRDefault="004524BE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4524BE" w:rsidRPr="00F927F4" w:rsidRDefault="00156E69" w:rsidP="00F913C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Liste des modifications à apporter au système </w:t>
            </w:r>
            <w:r w:rsidR="00F913C9" w:rsidRPr="00F927F4">
              <w:rPr>
                <w:sz w:val="20"/>
                <w:szCs w:val="20"/>
                <w:lang w:val="fr-FR"/>
              </w:rPr>
              <w:t xml:space="preserve">d’information </w:t>
            </w:r>
            <w:r w:rsidRPr="00F927F4">
              <w:rPr>
                <w:sz w:val="20"/>
                <w:szCs w:val="20"/>
                <w:lang w:val="fr-FR"/>
              </w:rPr>
              <w:t xml:space="preserve">de gestion de </w:t>
            </w:r>
            <w:r w:rsidR="00EA7FF0" w:rsidRPr="00F927F4">
              <w:rPr>
                <w:sz w:val="20"/>
                <w:szCs w:val="20"/>
                <w:lang w:val="fr-FR"/>
              </w:rPr>
              <w:t>la b</w:t>
            </w:r>
            <w:r w:rsidRPr="00F927F4">
              <w:rPr>
                <w:sz w:val="20"/>
                <w:szCs w:val="20"/>
                <w:lang w:val="fr-FR"/>
              </w:rPr>
              <w:t>anque</w:t>
            </w:r>
          </w:p>
        </w:tc>
        <w:tc>
          <w:tcPr>
            <w:tcW w:w="2319" w:type="dxa"/>
          </w:tcPr>
          <w:p w:rsidR="004524BE" w:rsidRPr="00F927F4" w:rsidRDefault="00971965" w:rsidP="00156E6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</w:t>
            </w:r>
            <w:r w:rsidR="00156E69" w:rsidRPr="00F927F4">
              <w:rPr>
                <w:sz w:val="20"/>
                <w:szCs w:val="20"/>
                <w:lang w:val="fr-FR"/>
              </w:rPr>
              <w:t xml:space="preserve"> à IFC une copie des modifications proposées</w:t>
            </w:r>
          </w:p>
        </w:tc>
      </w:tr>
      <w:tr w:rsidR="00F913C9" w:rsidRPr="00F927F4" w:rsidTr="00435AF8">
        <w:tc>
          <w:tcPr>
            <w:tcW w:w="2113" w:type="dxa"/>
          </w:tcPr>
          <w:p w:rsidR="004524BE" w:rsidRPr="00F927F4" w:rsidRDefault="009733B1" w:rsidP="00156E6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2.9</w:t>
            </w:r>
            <w:r w:rsidR="00375C13" w:rsidRPr="00F927F4">
              <w:rPr>
                <w:sz w:val="20"/>
                <w:szCs w:val="20"/>
                <w:lang w:val="fr-FR"/>
              </w:rPr>
              <w:t xml:space="preserve"> </w:t>
            </w:r>
            <w:r w:rsidR="00156E69" w:rsidRPr="00F927F4">
              <w:rPr>
                <w:sz w:val="20"/>
                <w:szCs w:val="20"/>
                <w:lang w:val="fr-FR"/>
              </w:rPr>
              <w:t>Intégrer l’analyse et l’évaluation des questions environnementales et sociales dans les procédu</w:t>
            </w:r>
            <w:r w:rsidR="00EA7FF0" w:rsidRPr="00F927F4">
              <w:rPr>
                <w:sz w:val="20"/>
                <w:szCs w:val="20"/>
                <w:lang w:val="fr-FR"/>
              </w:rPr>
              <w:t xml:space="preserve">res d’examen des crédits de la </w:t>
            </w:r>
            <w:r w:rsidR="00EA7FF0" w:rsidRPr="00F927F4">
              <w:rPr>
                <w:sz w:val="20"/>
                <w:szCs w:val="20"/>
                <w:lang w:val="fr-FR"/>
              </w:rPr>
              <w:lastRenderedPageBreak/>
              <w:t>b</w:t>
            </w:r>
            <w:r w:rsidR="00156E69" w:rsidRPr="00F927F4">
              <w:rPr>
                <w:sz w:val="20"/>
                <w:szCs w:val="20"/>
                <w:lang w:val="fr-FR"/>
              </w:rPr>
              <w:t>anque</w:t>
            </w:r>
          </w:p>
        </w:tc>
        <w:tc>
          <w:tcPr>
            <w:tcW w:w="1559" w:type="dxa"/>
          </w:tcPr>
          <w:p w:rsidR="004524BE" w:rsidRPr="00F927F4" w:rsidRDefault="004524BE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4524BE" w:rsidRPr="00F927F4" w:rsidRDefault="004524BE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4524BE" w:rsidRPr="00F927F4" w:rsidRDefault="004524BE" w:rsidP="00F75743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72" w:type="dxa"/>
          </w:tcPr>
          <w:p w:rsidR="004524BE" w:rsidRPr="00F927F4" w:rsidRDefault="00156E69" w:rsidP="00156E6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Procédures d’examen des crédits actualisées</w:t>
            </w:r>
          </w:p>
        </w:tc>
        <w:tc>
          <w:tcPr>
            <w:tcW w:w="2319" w:type="dxa"/>
          </w:tcPr>
          <w:p w:rsidR="004524BE" w:rsidRPr="00F927F4" w:rsidRDefault="001A3490" w:rsidP="00971965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à IFC l</w:t>
            </w:r>
            <w:r w:rsidR="00971965" w:rsidRPr="00F927F4">
              <w:rPr>
                <w:sz w:val="20"/>
                <w:szCs w:val="20"/>
                <w:lang w:val="fr-FR"/>
              </w:rPr>
              <w:t>es procédures d’examen des crédits actualisées</w:t>
            </w:r>
          </w:p>
        </w:tc>
      </w:tr>
    </w:tbl>
    <w:p w:rsidR="00430083" w:rsidRPr="00F927F4" w:rsidRDefault="00430083" w:rsidP="00F75743">
      <w:pPr>
        <w:rPr>
          <w:b/>
          <w:u w:val="single"/>
          <w:lang w:val="fr-FR"/>
        </w:rPr>
      </w:pPr>
    </w:p>
    <w:p w:rsidR="007A5D5A" w:rsidRPr="00F927F4" w:rsidRDefault="007A5D5A" w:rsidP="00F75743">
      <w:pPr>
        <w:rPr>
          <w:b/>
          <w:u w:val="single"/>
          <w:lang w:val="fr-FR"/>
        </w:rPr>
      </w:pPr>
    </w:p>
    <w:p w:rsidR="007A5D5A" w:rsidRPr="00F927F4" w:rsidRDefault="007A5D5A" w:rsidP="00F75743">
      <w:pPr>
        <w:rPr>
          <w:b/>
          <w:u w:val="single"/>
          <w:lang w:val="fr-FR"/>
        </w:rPr>
      </w:pPr>
    </w:p>
    <w:p w:rsidR="007A5D5A" w:rsidRPr="00F927F4" w:rsidRDefault="007A5D5A" w:rsidP="00F75743">
      <w:pPr>
        <w:rPr>
          <w:b/>
          <w:u w:val="single"/>
          <w:lang w:val="fr-FR"/>
        </w:rPr>
      </w:pPr>
    </w:p>
    <w:p w:rsidR="00F64DC6" w:rsidRPr="00F927F4" w:rsidRDefault="00971965" w:rsidP="004C36FF">
      <w:pPr>
        <w:outlineLvl w:val="0"/>
        <w:rPr>
          <w:b/>
          <w:u w:val="single"/>
          <w:lang w:val="fr-FR"/>
        </w:rPr>
      </w:pPr>
      <w:r w:rsidRPr="00F927F4">
        <w:rPr>
          <w:b/>
          <w:u w:val="single"/>
          <w:lang w:val="fr-FR"/>
        </w:rPr>
        <w:t>3</w:t>
      </w:r>
      <w:r w:rsidRPr="00F927F4">
        <w:rPr>
          <w:b/>
          <w:u w:val="single"/>
          <w:vertAlign w:val="superscript"/>
          <w:lang w:val="fr-FR"/>
        </w:rPr>
        <w:t>e</w:t>
      </w:r>
      <w:r w:rsidRPr="00F927F4">
        <w:rPr>
          <w:b/>
          <w:u w:val="single"/>
          <w:lang w:val="fr-FR"/>
        </w:rPr>
        <w:t xml:space="preserve"> étape</w:t>
      </w:r>
      <w:r w:rsidR="00F64DC6" w:rsidRPr="00F927F4">
        <w:rPr>
          <w:b/>
          <w:u w:val="single"/>
          <w:lang w:val="fr-FR"/>
        </w:rPr>
        <w:t xml:space="preserve">. </w:t>
      </w:r>
      <w:r w:rsidRPr="00F927F4">
        <w:rPr>
          <w:b/>
          <w:u w:val="single"/>
          <w:lang w:val="fr-FR"/>
        </w:rPr>
        <w:t>Élaboration de documents d’</w:t>
      </w:r>
      <w:r w:rsidR="00FB56F3">
        <w:rPr>
          <w:b/>
          <w:u w:val="single"/>
          <w:lang w:val="fr-FR"/>
        </w:rPr>
        <w:t xml:space="preserve">orientation pour </w:t>
      </w:r>
      <w:r w:rsidRPr="00F927F4">
        <w:rPr>
          <w:b/>
          <w:u w:val="single"/>
          <w:lang w:val="fr-FR"/>
        </w:rPr>
        <w:t>la mise en œuvre du SGES</w:t>
      </w:r>
    </w:p>
    <w:p w:rsidR="00F64DC6" w:rsidRPr="00F927F4" w:rsidRDefault="00F64DC6" w:rsidP="00F75743">
      <w:pPr>
        <w:rPr>
          <w:b/>
          <w:u w:val="single"/>
          <w:lang w:val="fr-FR"/>
        </w:rPr>
      </w:pPr>
    </w:p>
    <w:tbl>
      <w:tblPr>
        <w:tblStyle w:val="TableGrid"/>
        <w:tblW w:w="1064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60"/>
        <w:gridCol w:w="1223"/>
        <w:gridCol w:w="1405"/>
        <w:gridCol w:w="2187"/>
        <w:gridCol w:w="1727"/>
      </w:tblGrid>
      <w:tr w:rsidR="00CE2C64" w:rsidRPr="00F927F4" w:rsidTr="00F913C9">
        <w:tc>
          <w:tcPr>
            <w:tcW w:w="2538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Action</w:t>
            </w:r>
          </w:p>
        </w:tc>
        <w:tc>
          <w:tcPr>
            <w:tcW w:w="1560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 xml:space="preserve">Personne(s) responsable(s) </w:t>
            </w:r>
          </w:p>
        </w:tc>
        <w:tc>
          <w:tcPr>
            <w:tcW w:w="1223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Date de démarrage prévue</w:t>
            </w:r>
          </w:p>
        </w:tc>
        <w:tc>
          <w:tcPr>
            <w:tcW w:w="1405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Date d’achèvement prévue</w:t>
            </w:r>
          </w:p>
        </w:tc>
        <w:tc>
          <w:tcPr>
            <w:tcW w:w="2187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Résultat à produire</w:t>
            </w:r>
          </w:p>
        </w:tc>
        <w:tc>
          <w:tcPr>
            <w:tcW w:w="1727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Indication d’achèvement</w:t>
            </w:r>
          </w:p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  <w:tr w:rsidR="00483D32" w:rsidRPr="00F927F4" w:rsidTr="00F913C9">
        <w:trPr>
          <w:trHeight w:val="980"/>
        </w:trPr>
        <w:tc>
          <w:tcPr>
            <w:tcW w:w="2538" w:type="dxa"/>
          </w:tcPr>
          <w:p w:rsidR="00CD43FA" w:rsidRPr="00F927F4" w:rsidRDefault="00CD43FA" w:rsidP="00F913C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3.1 </w:t>
            </w:r>
            <w:r w:rsidR="00FA1B1B" w:rsidRPr="00F927F4">
              <w:rPr>
                <w:sz w:val="20"/>
                <w:szCs w:val="20"/>
                <w:lang w:val="fr-FR"/>
              </w:rPr>
              <w:t>Élaborer un outil de c</w:t>
            </w:r>
            <w:r w:rsidR="00F913C9" w:rsidRPr="00F927F4">
              <w:rPr>
                <w:sz w:val="20"/>
                <w:szCs w:val="20"/>
                <w:lang w:val="fr-FR"/>
              </w:rPr>
              <w:t xml:space="preserve">lassification </w:t>
            </w:r>
            <w:r w:rsidR="00FA1B1B" w:rsidRPr="00F927F4">
              <w:rPr>
                <w:sz w:val="20"/>
                <w:szCs w:val="20"/>
                <w:lang w:val="fr-FR"/>
              </w:rPr>
              <w:t xml:space="preserve">des risques </w:t>
            </w:r>
            <w:r w:rsidR="00F46120" w:rsidRPr="00F927F4">
              <w:rPr>
                <w:sz w:val="20"/>
                <w:szCs w:val="20"/>
                <w:lang w:val="fr-FR"/>
              </w:rPr>
              <w:t>E&amp;S</w:t>
            </w:r>
          </w:p>
        </w:tc>
        <w:tc>
          <w:tcPr>
            <w:tcW w:w="1560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CD43FA" w:rsidRPr="00F927F4" w:rsidRDefault="00FA1B1B" w:rsidP="00F913C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Outil de c</w:t>
            </w:r>
            <w:r w:rsidR="00F913C9" w:rsidRPr="00F927F4">
              <w:rPr>
                <w:sz w:val="20"/>
                <w:szCs w:val="20"/>
                <w:lang w:val="fr-FR"/>
              </w:rPr>
              <w:t xml:space="preserve">lassification </w:t>
            </w:r>
            <w:r w:rsidRPr="00F927F4">
              <w:rPr>
                <w:sz w:val="20"/>
                <w:szCs w:val="20"/>
                <w:lang w:val="fr-FR"/>
              </w:rPr>
              <w:t>des risques utilisé pour classer les projets en réserve et les projets du portefeuille dans les catégories à risque élevé, moyen et faible</w:t>
            </w:r>
          </w:p>
        </w:tc>
        <w:tc>
          <w:tcPr>
            <w:tcW w:w="1727" w:type="dxa"/>
            <w:vMerge w:val="restart"/>
          </w:tcPr>
          <w:p w:rsidR="00CD43FA" w:rsidRPr="00F927F4" w:rsidRDefault="00FA1B1B" w:rsidP="00FA1B1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une copie à IFC</w:t>
            </w:r>
          </w:p>
        </w:tc>
      </w:tr>
      <w:tr w:rsidR="00483D32" w:rsidRPr="00F927F4" w:rsidTr="00F913C9">
        <w:trPr>
          <w:trHeight w:val="980"/>
        </w:trPr>
        <w:tc>
          <w:tcPr>
            <w:tcW w:w="2538" w:type="dxa"/>
          </w:tcPr>
          <w:p w:rsidR="00CD43FA" w:rsidRPr="00F927F4" w:rsidRDefault="00CD43FA" w:rsidP="008D50C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3.2 </w:t>
            </w:r>
            <w:r w:rsidR="00FA1B1B" w:rsidRPr="00F927F4">
              <w:rPr>
                <w:sz w:val="20"/>
                <w:szCs w:val="20"/>
                <w:lang w:val="fr-FR"/>
              </w:rPr>
              <w:t xml:space="preserve">Élaborer un formulaire </w:t>
            </w:r>
            <w:r w:rsidR="008D50C8">
              <w:rPr>
                <w:sz w:val="20"/>
                <w:szCs w:val="20"/>
                <w:lang w:val="fr-FR"/>
              </w:rPr>
              <w:t xml:space="preserve">pour le processus de </w:t>
            </w:r>
            <w:r w:rsidR="00F913C9" w:rsidRPr="00F927F4">
              <w:rPr>
                <w:sz w:val="20"/>
                <w:szCs w:val="20"/>
                <w:lang w:val="fr-FR"/>
              </w:rPr>
              <w:t>diligen</w:t>
            </w:r>
            <w:r w:rsidR="008D50C8">
              <w:rPr>
                <w:sz w:val="20"/>
                <w:szCs w:val="20"/>
                <w:lang w:val="fr-FR"/>
              </w:rPr>
              <w:t>c</w:t>
            </w:r>
            <w:r w:rsidR="00F913C9" w:rsidRPr="00F927F4">
              <w:rPr>
                <w:sz w:val="20"/>
                <w:szCs w:val="20"/>
                <w:lang w:val="fr-FR"/>
              </w:rPr>
              <w:t>e</w:t>
            </w:r>
            <w:r w:rsidR="008D50C8">
              <w:rPr>
                <w:sz w:val="20"/>
                <w:szCs w:val="20"/>
                <w:lang w:val="fr-FR"/>
              </w:rPr>
              <w:t xml:space="preserve"> </w:t>
            </w:r>
            <w:r w:rsidR="00F46120" w:rsidRPr="00F927F4">
              <w:rPr>
                <w:sz w:val="20"/>
                <w:szCs w:val="20"/>
                <w:lang w:val="fr-FR"/>
              </w:rPr>
              <w:t>E&amp;S</w:t>
            </w:r>
            <w:r w:rsidR="008D50C8">
              <w:rPr>
                <w:sz w:val="20"/>
                <w:szCs w:val="20"/>
                <w:lang w:val="fr-FR"/>
              </w:rPr>
              <w:t xml:space="preserve"> raisonnable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CD43FA" w:rsidRPr="00F927F4" w:rsidRDefault="00930F32" w:rsidP="008D50C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Formulaire </w:t>
            </w:r>
            <w:r w:rsidR="008D50C8">
              <w:rPr>
                <w:sz w:val="20"/>
                <w:szCs w:val="20"/>
                <w:lang w:val="fr-FR"/>
              </w:rPr>
              <w:t xml:space="preserve">du </w:t>
            </w:r>
            <w:r w:rsidR="008D50C8" w:rsidRPr="008D50C8">
              <w:rPr>
                <w:sz w:val="20"/>
                <w:szCs w:val="20"/>
                <w:lang w:val="fr-FR"/>
              </w:rPr>
              <w:t>processus de diligence E&amp;S raisonnable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  <w:r w:rsidR="008D50C8">
              <w:rPr>
                <w:sz w:val="20"/>
                <w:szCs w:val="20"/>
                <w:lang w:val="fr-FR"/>
              </w:rPr>
              <w:t xml:space="preserve">à </w:t>
            </w:r>
            <w:r w:rsidRPr="00F927F4">
              <w:rPr>
                <w:sz w:val="20"/>
                <w:szCs w:val="20"/>
                <w:lang w:val="fr-FR"/>
              </w:rPr>
              <w:t xml:space="preserve">utiliser pendant la phase </w:t>
            </w:r>
            <w:r w:rsidR="003E393E" w:rsidRPr="00F927F4">
              <w:rPr>
                <w:sz w:val="20"/>
                <w:szCs w:val="20"/>
                <w:lang w:val="fr-FR"/>
              </w:rPr>
              <w:t>d’évaluation</w:t>
            </w:r>
          </w:p>
        </w:tc>
        <w:tc>
          <w:tcPr>
            <w:tcW w:w="1727" w:type="dxa"/>
            <w:vMerge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83D32" w:rsidRPr="00F927F4" w:rsidTr="00F913C9">
        <w:tc>
          <w:tcPr>
            <w:tcW w:w="2538" w:type="dxa"/>
          </w:tcPr>
          <w:p w:rsidR="00CD43FA" w:rsidRPr="00F927F4" w:rsidRDefault="00CD43FA" w:rsidP="00F913C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3.3 </w:t>
            </w:r>
            <w:r w:rsidR="00E01D07" w:rsidRPr="00F927F4">
              <w:rPr>
                <w:sz w:val="20"/>
                <w:szCs w:val="20"/>
                <w:lang w:val="fr-FR"/>
              </w:rPr>
              <w:t xml:space="preserve">Établir une liste de contrôle sur la conformité à la réglementation E&amp;S du pays </w:t>
            </w:r>
            <w:r w:rsidR="00F913C9" w:rsidRPr="00F927F4">
              <w:rPr>
                <w:sz w:val="20"/>
                <w:szCs w:val="20"/>
                <w:lang w:val="fr-FR"/>
              </w:rPr>
              <w:t>hôte</w:t>
            </w:r>
            <w:r w:rsidR="00E01D07" w:rsidRPr="00F927F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60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CD43FA" w:rsidRPr="00F927F4" w:rsidRDefault="00E01D07" w:rsidP="008D50C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Liste de contrôle </w:t>
            </w:r>
            <w:r w:rsidR="008D50C8">
              <w:rPr>
                <w:sz w:val="20"/>
                <w:szCs w:val="20"/>
                <w:lang w:val="fr-FR"/>
              </w:rPr>
              <w:t xml:space="preserve">de la conformité à la </w:t>
            </w:r>
            <w:r w:rsidRPr="00F927F4">
              <w:rPr>
                <w:sz w:val="20"/>
                <w:szCs w:val="20"/>
                <w:lang w:val="fr-FR"/>
              </w:rPr>
              <w:t xml:space="preserve">réglementation E&amp;S du pays </w:t>
            </w:r>
            <w:r w:rsidR="00562D71" w:rsidRPr="00F927F4">
              <w:rPr>
                <w:sz w:val="20"/>
                <w:szCs w:val="20"/>
                <w:lang w:val="fr-FR"/>
              </w:rPr>
              <w:t>hôte</w:t>
            </w:r>
          </w:p>
        </w:tc>
        <w:tc>
          <w:tcPr>
            <w:tcW w:w="1727" w:type="dxa"/>
            <w:vMerge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83D32" w:rsidRPr="00F927F4" w:rsidTr="00F913C9">
        <w:tc>
          <w:tcPr>
            <w:tcW w:w="2538" w:type="dxa"/>
          </w:tcPr>
          <w:p w:rsidR="00CD43FA" w:rsidRPr="00F927F4" w:rsidRDefault="00CD43FA" w:rsidP="008D50C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3.4 </w:t>
            </w:r>
            <w:r w:rsidR="00E01D07" w:rsidRPr="00F927F4">
              <w:rPr>
                <w:sz w:val="20"/>
                <w:szCs w:val="20"/>
                <w:lang w:val="fr-FR"/>
              </w:rPr>
              <w:t xml:space="preserve">Établir une liste de contrôle </w:t>
            </w:r>
            <w:r w:rsidR="008D50C8">
              <w:rPr>
                <w:sz w:val="20"/>
                <w:szCs w:val="20"/>
                <w:lang w:val="fr-FR"/>
              </w:rPr>
              <w:t xml:space="preserve">de </w:t>
            </w:r>
            <w:r w:rsidR="00E01D07" w:rsidRPr="00F927F4">
              <w:rPr>
                <w:sz w:val="20"/>
                <w:szCs w:val="20"/>
                <w:lang w:val="fr-FR"/>
              </w:rPr>
              <w:t xml:space="preserve">la conformité aux Normes de performance d’IFC </w:t>
            </w:r>
          </w:p>
        </w:tc>
        <w:tc>
          <w:tcPr>
            <w:tcW w:w="1560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CD43FA" w:rsidRPr="00F927F4" w:rsidRDefault="00E01D07" w:rsidP="008D50C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Liste de contrôle </w:t>
            </w:r>
            <w:r w:rsidR="008D50C8">
              <w:rPr>
                <w:sz w:val="20"/>
                <w:szCs w:val="20"/>
                <w:lang w:val="fr-FR"/>
              </w:rPr>
              <w:t xml:space="preserve">de la conformité aux </w:t>
            </w:r>
            <w:r w:rsidRPr="00F927F4">
              <w:rPr>
                <w:sz w:val="20"/>
                <w:szCs w:val="20"/>
                <w:lang w:val="fr-FR"/>
              </w:rPr>
              <w:t xml:space="preserve">Normes de performance d’IFC </w:t>
            </w:r>
          </w:p>
        </w:tc>
        <w:tc>
          <w:tcPr>
            <w:tcW w:w="1727" w:type="dxa"/>
            <w:vMerge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83D32" w:rsidRPr="00F927F4" w:rsidTr="00F913C9">
        <w:tc>
          <w:tcPr>
            <w:tcW w:w="2538" w:type="dxa"/>
          </w:tcPr>
          <w:p w:rsidR="00CD43FA" w:rsidRPr="00F927F4" w:rsidRDefault="00CD43FA" w:rsidP="00E01D0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3.5 </w:t>
            </w:r>
            <w:r w:rsidR="00E01D07" w:rsidRPr="00F927F4">
              <w:rPr>
                <w:sz w:val="20"/>
                <w:szCs w:val="20"/>
                <w:lang w:val="fr-FR"/>
              </w:rPr>
              <w:t>Élaborer un formulaire de suivi/supervision E&amp;S</w:t>
            </w:r>
          </w:p>
        </w:tc>
        <w:tc>
          <w:tcPr>
            <w:tcW w:w="1560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CD43FA" w:rsidRPr="00F927F4" w:rsidRDefault="00E01D07" w:rsidP="00555C0D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Formulaire de suivi </w:t>
            </w:r>
            <w:r w:rsidR="00F46120" w:rsidRPr="00F927F4">
              <w:rPr>
                <w:sz w:val="20"/>
                <w:szCs w:val="20"/>
                <w:lang w:val="fr-FR"/>
              </w:rPr>
              <w:t>E&amp;S</w:t>
            </w:r>
            <w:r w:rsidR="00CD43FA" w:rsidRPr="00F927F4">
              <w:rPr>
                <w:sz w:val="20"/>
                <w:szCs w:val="20"/>
                <w:lang w:val="fr-FR"/>
              </w:rPr>
              <w:t xml:space="preserve"> </w:t>
            </w:r>
            <w:r w:rsidRPr="00F927F4">
              <w:rPr>
                <w:sz w:val="20"/>
                <w:szCs w:val="20"/>
                <w:lang w:val="fr-FR"/>
              </w:rPr>
              <w:t xml:space="preserve">à utiliser pendant la phase de supervision </w:t>
            </w:r>
            <w:r w:rsidR="00555C0D" w:rsidRPr="00F927F4">
              <w:rPr>
                <w:sz w:val="20"/>
                <w:szCs w:val="20"/>
                <w:lang w:val="fr-FR"/>
              </w:rPr>
              <w:t>du projet</w:t>
            </w:r>
          </w:p>
        </w:tc>
        <w:tc>
          <w:tcPr>
            <w:tcW w:w="1727" w:type="dxa"/>
            <w:vMerge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83D32" w:rsidRPr="00F927F4" w:rsidTr="00F913C9">
        <w:tc>
          <w:tcPr>
            <w:tcW w:w="2538" w:type="dxa"/>
          </w:tcPr>
          <w:p w:rsidR="00CD43FA" w:rsidRPr="00F927F4" w:rsidRDefault="00CD43FA" w:rsidP="008D50C8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3.6 </w:t>
            </w:r>
            <w:r w:rsidR="005B3886" w:rsidRPr="00F927F4">
              <w:rPr>
                <w:sz w:val="20"/>
                <w:szCs w:val="20"/>
                <w:lang w:val="fr-FR"/>
              </w:rPr>
              <w:t xml:space="preserve">Élaborer un Plan d’action E&amp;S </w:t>
            </w:r>
            <w:r w:rsidR="008D50C8">
              <w:rPr>
                <w:sz w:val="20"/>
                <w:szCs w:val="20"/>
                <w:lang w:val="fr-FR"/>
              </w:rPr>
              <w:t xml:space="preserve">type </w:t>
            </w:r>
            <w:r w:rsidR="005B3886" w:rsidRPr="00F927F4">
              <w:rPr>
                <w:sz w:val="20"/>
                <w:szCs w:val="20"/>
                <w:lang w:val="fr-FR"/>
              </w:rPr>
              <w:t xml:space="preserve">à utiliser dans les </w:t>
            </w:r>
            <w:r w:rsidR="00A0543E" w:rsidRPr="00F927F4">
              <w:rPr>
                <w:sz w:val="20"/>
                <w:szCs w:val="20"/>
                <w:lang w:val="fr-FR"/>
              </w:rPr>
              <w:t>accords de prêt conclus par la b</w:t>
            </w:r>
            <w:r w:rsidR="005B3886" w:rsidRPr="00F927F4">
              <w:rPr>
                <w:sz w:val="20"/>
                <w:szCs w:val="20"/>
                <w:lang w:val="fr-FR"/>
              </w:rPr>
              <w:t>anque avec ses clients à risque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  <w:r w:rsidR="00A0543E" w:rsidRPr="00F927F4">
              <w:rPr>
                <w:sz w:val="20"/>
                <w:szCs w:val="20"/>
                <w:lang w:val="fr-FR"/>
              </w:rPr>
              <w:t xml:space="preserve">élevé </w:t>
            </w:r>
            <w:r w:rsidRPr="00F927F4">
              <w:rPr>
                <w:sz w:val="20"/>
                <w:szCs w:val="20"/>
                <w:lang w:val="fr-FR"/>
              </w:rPr>
              <w:t>(</w:t>
            </w:r>
            <w:r w:rsidR="005B3886" w:rsidRPr="00F927F4">
              <w:rPr>
                <w:sz w:val="20"/>
                <w:szCs w:val="20"/>
                <w:lang w:val="fr-FR"/>
              </w:rPr>
              <w:t>en cas de non-conformité en matière environnementale et sociale</w:t>
            </w:r>
            <w:r w:rsidRPr="00F927F4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560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CD43FA" w:rsidRPr="00F927F4" w:rsidRDefault="005B3886" w:rsidP="00A0543E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Plan d’action </w:t>
            </w:r>
            <w:r w:rsidR="00F46120" w:rsidRPr="00F927F4">
              <w:rPr>
                <w:sz w:val="20"/>
                <w:szCs w:val="20"/>
                <w:lang w:val="fr-FR"/>
              </w:rPr>
              <w:t>E&amp;S</w:t>
            </w:r>
            <w:r w:rsidR="00CD43FA" w:rsidRPr="00F927F4">
              <w:rPr>
                <w:sz w:val="20"/>
                <w:szCs w:val="20"/>
                <w:lang w:val="fr-FR"/>
              </w:rPr>
              <w:t xml:space="preserve"> </w:t>
            </w:r>
            <w:r w:rsidRPr="00F927F4">
              <w:rPr>
                <w:sz w:val="20"/>
                <w:szCs w:val="20"/>
                <w:lang w:val="fr-FR"/>
              </w:rPr>
              <w:t>pour les clients à risque</w:t>
            </w:r>
            <w:r w:rsidR="00A0543E" w:rsidRPr="00F927F4">
              <w:rPr>
                <w:sz w:val="20"/>
                <w:szCs w:val="20"/>
                <w:lang w:val="fr-FR"/>
              </w:rPr>
              <w:t xml:space="preserve"> élevé</w:t>
            </w:r>
          </w:p>
        </w:tc>
        <w:tc>
          <w:tcPr>
            <w:tcW w:w="1727" w:type="dxa"/>
            <w:vMerge/>
          </w:tcPr>
          <w:p w:rsidR="00CD43FA" w:rsidRPr="00F927F4" w:rsidRDefault="00CD43FA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</w:tr>
      <w:tr w:rsidR="00483D32" w:rsidRPr="00F927F4" w:rsidTr="00F913C9">
        <w:tc>
          <w:tcPr>
            <w:tcW w:w="2538" w:type="dxa"/>
          </w:tcPr>
          <w:p w:rsidR="00961486" w:rsidRPr="00F927F4" w:rsidRDefault="00961486" w:rsidP="00C07F3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3.7 </w:t>
            </w:r>
            <w:r w:rsidR="005B3886" w:rsidRPr="00F927F4">
              <w:rPr>
                <w:sz w:val="20"/>
                <w:szCs w:val="20"/>
                <w:lang w:val="fr-FR"/>
              </w:rPr>
              <w:t>Éla</w:t>
            </w:r>
            <w:r w:rsidR="00A0543E" w:rsidRPr="00F927F4">
              <w:rPr>
                <w:sz w:val="20"/>
                <w:szCs w:val="20"/>
                <w:lang w:val="fr-FR"/>
              </w:rPr>
              <w:t xml:space="preserve">borer des </w:t>
            </w:r>
            <w:r w:rsidR="008D50C8">
              <w:rPr>
                <w:sz w:val="20"/>
                <w:szCs w:val="20"/>
                <w:lang w:val="fr-FR"/>
              </w:rPr>
              <w:t xml:space="preserve">énoncés types </w:t>
            </w:r>
            <w:r w:rsidR="00C07F3B">
              <w:rPr>
                <w:sz w:val="20"/>
                <w:szCs w:val="20"/>
                <w:lang w:val="fr-FR"/>
              </w:rPr>
              <w:t xml:space="preserve">concernant </w:t>
            </w:r>
            <w:r w:rsidR="005B3886" w:rsidRPr="00F927F4">
              <w:rPr>
                <w:sz w:val="20"/>
                <w:szCs w:val="20"/>
                <w:lang w:val="fr-FR"/>
              </w:rPr>
              <w:t>les questions environnementales et sociales à intégrer dans les accords de prêts conclus avec tous les clients</w:t>
            </w:r>
          </w:p>
        </w:tc>
        <w:tc>
          <w:tcPr>
            <w:tcW w:w="1560" w:type="dxa"/>
          </w:tcPr>
          <w:p w:rsidR="00961486" w:rsidRPr="00F927F4" w:rsidRDefault="00961486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23" w:type="dxa"/>
          </w:tcPr>
          <w:p w:rsidR="00961486" w:rsidRPr="00F927F4" w:rsidRDefault="00961486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</w:tcPr>
          <w:p w:rsidR="00961486" w:rsidRPr="00F927F4" w:rsidRDefault="00961486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187" w:type="dxa"/>
          </w:tcPr>
          <w:p w:rsidR="00961486" w:rsidRPr="00F927F4" w:rsidRDefault="00C07F3B" w:rsidP="00C07F3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Énoncés types concernant </w:t>
            </w:r>
            <w:r w:rsidR="00483D32" w:rsidRPr="00F927F4">
              <w:rPr>
                <w:sz w:val="20"/>
                <w:szCs w:val="20"/>
                <w:lang w:val="fr-FR"/>
              </w:rPr>
              <w:t xml:space="preserve">les questions environnementales et sociales pour tous les accords de prêts </w:t>
            </w:r>
          </w:p>
        </w:tc>
        <w:tc>
          <w:tcPr>
            <w:tcW w:w="1727" w:type="dxa"/>
          </w:tcPr>
          <w:p w:rsidR="00961486" w:rsidRPr="00F927F4" w:rsidRDefault="00483D32" w:rsidP="00C07F3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à IFC une copie des</w:t>
            </w:r>
            <w:r w:rsidR="00C07F3B">
              <w:rPr>
                <w:sz w:val="20"/>
                <w:szCs w:val="20"/>
                <w:lang w:val="fr-FR"/>
              </w:rPr>
              <w:t xml:space="preserve"> énoncés types concernant </w:t>
            </w:r>
            <w:r w:rsidRPr="00F927F4">
              <w:rPr>
                <w:sz w:val="20"/>
                <w:szCs w:val="20"/>
                <w:lang w:val="fr-FR"/>
              </w:rPr>
              <w:t xml:space="preserve">les questions environnementales et sociales </w:t>
            </w:r>
          </w:p>
        </w:tc>
      </w:tr>
    </w:tbl>
    <w:p w:rsidR="00E24868" w:rsidRPr="00F927F4" w:rsidRDefault="00E24868" w:rsidP="00F64DC6">
      <w:pPr>
        <w:rPr>
          <w:b/>
          <w:u w:val="single"/>
          <w:lang w:val="fr-FR"/>
        </w:rPr>
      </w:pPr>
    </w:p>
    <w:p w:rsidR="00F64DC6" w:rsidRPr="00F927F4" w:rsidRDefault="00CE2C64" w:rsidP="004C36FF">
      <w:pPr>
        <w:outlineLvl w:val="0"/>
        <w:rPr>
          <w:b/>
          <w:u w:val="single"/>
          <w:lang w:val="fr-FR"/>
        </w:rPr>
      </w:pPr>
      <w:r w:rsidRPr="00F927F4">
        <w:rPr>
          <w:b/>
          <w:u w:val="single"/>
          <w:lang w:val="fr-FR"/>
        </w:rPr>
        <w:t>4</w:t>
      </w:r>
      <w:r w:rsidRPr="00F927F4">
        <w:rPr>
          <w:b/>
          <w:u w:val="single"/>
          <w:vertAlign w:val="superscript"/>
          <w:lang w:val="fr-FR"/>
        </w:rPr>
        <w:t>e</w:t>
      </w:r>
      <w:r w:rsidRPr="00F927F4">
        <w:rPr>
          <w:b/>
          <w:u w:val="single"/>
          <w:lang w:val="fr-FR"/>
        </w:rPr>
        <w:t xml:space="preserve"> étape</w:t>
      </w:r>
      <w:r w:rsidR="00F64DC6" w:rsidRPr="00F927F4">
        <w:rPr>
          <w:b/>
          <w:u w:val="single"/>
          <w:lang w:val="fr-FR"/>
        </w:rPr>
        <w:t>.</w:t>
      </w:r>
      <w:r w:rsidR="00C5772F" w:rsidRPr="00F927F4">
        <w:rPr>
          <w:b/>
          <w:u w:val="single"/>
          <w:lang w:val="fr-FR"/>
        </w:rPr>
        <w:t xml:space="preserve"> </w:t>
      </w:r>
      <w:r w:rsidRPr="00F927F4">
        <w:rPr>
          <w:b/>
          <w:u w:val="single"/>
          <w:lang w:val="fr-FR"/>
        </w:rPr>
        <w:t>Procédure de déploiement</w:t>
      </w:r>
    </w:p>
    <w:p w:rsidR="00F64DC6" w:rsidRPr="00F927F4" w:rsidRDefault="00F64DC6" w:rsidP="00F75743">
      <w:pPr>
        <w:rPr>
          <w:b/>
          <w:u w:val="single"/>
          <w:lang w:val="fr-FR"/>
        </w:rPr>
      </w:pPr>
    </w:p>
    <w:tbl>
      <w:tblPr>
        <w:tblStyle w:val="TableGrid"/>
        <w:tblW w:w="1044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701"/>
        <w:gridCol w:w="1276"/>
        <w:gridCol w:w="1417"/>
        <w:gridCol w:w="1701"/>
        <w:gridCol w:w="2232"/>
      </w:tblGrid>
      <w:tr w:rsidR="00D30DD2" w:rsidRPr="00F927F4" w:rsidTr="00150929">
        <w:tc>
          <w:tcPr>
            <w:tcW w:w="2113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Action</w:t>
            </w:r>
          </w:p>
        </w:tc>
        <w:tc>
          <w:tcPr>
            <w:tcW w:w="1701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 xml:space="preserve">Personne(s) responsable(s) </w:t>
            </w:r>
          </w:p>
        </w:tc>
        <w:tc>
          <w:tcPr>
            <w:tcW w:w="1276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 xml:space="preserve">Date de démarrage </w:t>
            </w: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>prévue</w:t>
            </w:r>
          </w:p>
        </w:tc>
        <w:tc>
          <w:tcPr>
            <w:tcW w:w="1417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 xml:space="preserve">Date d’achèvement </w:t>
            </w: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>prévue</w:t>
            </w:r>
          </w:p>
        </w:tc>
        <w:tc>
          <w:tcPr>
            <w:tcW w:w="1701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lastRenderedPageBreak/>
              <w:t>Résultat à produire</w:t>
            </w:r>
          </w:p>
        </w:tc>
        <w:tc>
          <w:tcPr>
            <w:tcW w:w="2232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Indication d’achèvement</w:t>
            </w:r>
          </w:p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  <w:tr w:rsidR="00D30DD2" w:rsidRPr="00F927F4" w:rsidTr="00150929">
        <w:trPr>
          <w:trHeight w:val="980"/>
        </w:trPr>
        <w:tc>
          <w:tcPr>
            <w:tcW w:w="2113" w:type="dxa"/>
          </w:tcPr>
          <w:p w:rsidR="006C7CDE" w:rsidRPr="00F927F4" w:rsidRDefault="006C7CDE" w:rsidP="0024170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lastRenderedPageBreak/>
              <w:t xml:space="preserve">4.1 </w:t>
            </w:r>
            <w:r w:rsidR="00CE2C64" w:rsidRPr="00F927F4">
              <w:rPr>
                <w:sz w:val="20"/>
                <w:szCs w:val="20"/>
                <w:lang w:val="fr-FR"/>
              </w:rPr>
              <w:t xml:space="preserve">Élaborer un programme de formation </w:t>
            </w:r>
            <w:r w:rsidR="00241702" w:rsidRPr="00F927F4">
              <w:rPr>
                <w:sz w:val="20"/>
                <w:szCs w:val="20"/>
                <w:lang w:val="fr-FR"/>
              </w:rPr>
              <w:t>E&amp;S pour tous les personnels concernés</w:t>
            </w:r>
          </w:p>
        </w:tc>
        <w:tc>
          <w:tcPr>
            <w:tcW w:w="1701" w:type="dxa"/>
          </w:tcPr>
          <w:p w:rsidR="006C7CDE" w:rsidRPr="00F927F4" w:rsidRDefault="006C7CDE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6C7CDE" w:rsidRPr="00F927F4" w:rsidRDefault="006C7CDE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6C7CDE" w:rsidRPr="00F927F4" w:rsidRDefault="006C7CDE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6C7CDE" w:rsidRPr="00F927F4" w:rsidRDefault="00D30DD2" w:rsidP="00D30DD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Programme de formation </w:t>
            </w:r>
            <w:r w:rsidR="00F46120" w:rsidRPr="00F927F4">
              <w:rPr>
                <w:sz w:val="20"/>
                <w:szCs w:val="20"/>
                <w:lang w:val="fr-FR"/>
              </w:rPr>
              <w:t>E&amp;S</w:t>
            </w:r>
            <w:r w:rsidR="00E14FE5" w:rsidRPr="00F927F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32" w:type="dxa"/>
          </w:tcPr>
          <w:p w:rsidR="006C7CDE" w:rsidRPr="00F927F4" w:rsidRDefault="00D30DD2" w:rsidP="00D30DD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Fournir à IFC une copie du programme de formation </w:t>
            </w:r>
            <w:r w:rsidR="006C7CDE" w:rsidRPr="00F927F4">
              <w:rPr>
                <w:sz w:val="20"/>
                <w:szCs w:val="20"/>
                <w:lang w:val="fr-FR"/>
              </w:rPr>
              <w:t xml:space="preserve">E&amp;S </w:t>
            </w:r>
          </w:p>
        </w:tc>
      </w:tr>
      <w:tr w:rsidR="00D30DD2" w:rsidRPr="00F927F4" w:rsidTr="00150929">
        <w:trPr>
          <w:trHeight w:val="980"/>
        </w:trPr>
        <w:tc>
          <w:tcPr>
            <w:tcW w:w="2113" w:type="dxa"/>
          </w:tcPr>
          <w:p w:rsidR="0000236A" w:rsidRPr="00F927F4" w:rsidRDefault="0026105F" w:rsidP="0024170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4.</w:t>
            </w:r>
            <w:r w:rsidR="006C7CDE" w:rsidRPr="00F927F4">
              <w:rPr>
                <w:sz w:val="20"/>
                <w:szCs w:val="20"/>
                <w:lang w:val="fr-FR"/>
              </w:rPr>
              <w:t>2</w:t>
            </w:r>
            <w:r w:rsidRPr="00F927F4">
              <w:rPr>
                <w:sz w:val="20"/>
                <w:szCs w:val="20"/>
                <w:lang w:val="fr-FR"/>
              </w:rPr>
              <w:t xml:space="preserve"> </w:t>
            </w:r>
            <w:r w:rsidR="00241702" w:rsidRPr="00F927F4">
              <w:rPr>
                <w:sz w:val="20"/>
                <w:szCs w:val="20"/>
                <w:lang w:val="fr-FR"/>
              </w:rPr>
              <w:t xml:space="preserve">Établir un calendrier de formation </w:t>
            </w:r>
            <w:r w:rsidR="00150929" w:rsidRPr="00F927F4">
              <w:rPr>
                <w:sz w:val="20"/>
                <w:szCs w:val="20"/>
                <w:lang w:val="fr-FR"/>
              </w:rPr>
              <w:t xml:space="preserve">régulière </w:t>
            </w:r>
            <w:r w:rsidR="00241702" w:rsidRPr="00F927F4">
              <w:rPr>
                <w:sz w:val="20"/>
                <w:szCs w:val="20"/>
                <w:lang w:val="fr-FR"/>
              </w:rPr>
              <w:t xml:space="preserve">E&amp;S </w:t>
            </w:r>
          </w:p>
        </w:tc>
        <w:tc>
          <w:tcPr>
            <w:tcW w:w="1701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00236A" w:rsidRPr="00F927F4" w:rsidRDefault="00D30DD2" w:rsidP="00D30DD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Calendrier de formation </w:t>
            </w:r>
            <w:r w:rsidR="00F46120" w:rsidRPr="00F927F4">
              <w:rPr>
                <w:sz w:val="20"/>
                <w:szCs w:val="20"/>
                <w:lang w:val="fr-FR"/>
              </w:rPr>
              <w:t>E&amp;S</w:t>
            </w:r>
            <w:r w:rsidR="00E14FE5" w:rsidRPr="00F927F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32" w:type="dxa"/>
          </w:tcPr>
          <w:p w:rsidR="0000236A" w:rsidRPr="00F927F4" w:rsidRDefault="00D30DD2" w:rsidP="00D30DD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à IFC une copie du calendrier de formation</w:t>
            </w:r>
          </w:p>
        </w:tc>
      </w:tr>
      <w:tr w:rsidR="00D30DD2" w:rsidRPr="00F927F4" w:rsidTr="00150929">
        <w:trPr>
          <w:trHeight w:val="980"/>
        </w:trPr>
        <w:tc>
          <w:tcPr>
            <w:tcW w:w="2113" w:type="dxa"/>
          </w:tcPr>
          <w:p w:rsidR="0000236A" w:rsidRPr="00F927F4" w:rsidRDefault="006C7CDE" w:rsidP="00D30DD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4.3</w:t>
            </w:r>
            <w:r w:rsidR="0029272C" w:rsidRPr="00F927F4">
              <w:rPr>
                <w:sz w:val="20"/>
                <w:szCs w:val="20"/>
                <w:lang w:val="fr-FR"/>
              </w:rPr>
              <w:t xml:space="preserve"> </w:t>
            </w:r>
            <w:r w:rsidR="00D30DD2" w:rsidRPr="00F927F4">
              <w:rPr>
                <w:sz w:val="20"/>
                <w:szCs w:val="20"/>
                <w:lang w:val="fr-FR"/>
              </w:rPr>
              <w:t xml:space="preserve">Organiser </w:t>
            </w:r>
            <w:r w:rsidR="00241702" w:rsidRPr="00F927F4">
              <w:rPr>
                <w:sz w:val="20"/>
                <w:szCs w:val="20"/>
                <w:lang w:val="fr-FR"/>
              </w:rPr>
              <w:t xml:space="preserve">les formations </w:t>
            </w:r>
            <w:r w:rsidR="00D30DD2" w:rsidRPr="00F927F4">
              <w:rPr>
                <w:sz w:val="20"/>
                <w:szCs w:val="20"/>
                <w:lang w:val="fr-FR"/>
              </w:rPr>
              <w:t xml:space="preserve">suivant le calendrier prévu </w:t>
            </w:r>
          </w:p>
        </w:tc>
        <w:tc>
          <w:tcPr>
            <w:tcW w:w="1701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00236A" w:rsidRPr="00F927F4" w:rsidRDefault="00D30DD2" w:rsidP="00D30DD2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Formations réalisées</w:t>
            </w:r>
          </w:p>
        </w:tc>
        <w:tc>
          <w:tcPr>
            <w:tcW w:w="2232" w:type="dxa"/>
          </w:tcPr>
          <w:p w:rsidR="0000236A" w:rsidRPr="00F927F4" w:rsidRDefault="00D30DD2" w:rsidP="00562D71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Communiquer à IFC le nombre de personnes formées </w:t>
            </w:r>
            <w:r w:rsidR="00562D71" w:rsidRPr="00F927F4">
              <w:rPr>
                <w:sz w:val="20"/>
                <w:szCs w:val="20"/>
                <w:lang w:val="fr-FR"/>
              </w:rPr>
              <w:t>à</w:t>
            </w:r>
            <w:r w:rsidRPr="00F927F4">
              <w:rPr>
                <w:sz w:val="20"/>
                <w:szCs w:val="20"/>
                <w:lang w:val="fr-FR"/>
              </w:rPr>
              <w:t xml:space="preserve"> la mise en œuvre du SGES</w:t>
            </w:r>
          </w:p>
        </w:tc>
      </w:tr>
      <w:tr w:rsidR="00D30DD2" w:rsidRPr="00F927F4" w:rsidTr="00150929">
        <w:tc>
          <w:tcPr>
            <w:tcW w:w="2113" w:type="dxa"/>
          </w:tcPr>
          <w:p w:rsidR="0026105F" w:rsidRPr="00F927F4" w:rsidRDefault="0026105F" w:rsidP="00D30DD2">
            <w:pPr>
              <w:pStyle w:val="ListParagraph"/>
              <w:tabs>
                <w:tab w:val="center" w:pos="854"/>
              </w:tabs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4.</w:t>
            </w:r>
            <w:r w:rsidR="006C7CDE" w:rsidRPr="00F927F4">
              <w:rPr>
                <w:sz w:val="20"/>
                <w:szCs w:val="20"/>
                <w:lang w:val="fr-FR"/>
              </w:rPr>
              <w:t>4</w:t>
            </w:r>
            <w:r w:rsidR="003820F3" w:rsidRPr="00F927F4">
              <w:rPr>
                <w:sz w:val="20"/>
                <w:szCs w:val="20"/>
                <w:lang w:val="fr-FR"/>
              </w:rPr>
              <w:t xml:space="preserve"> </w:t>
            </w:r>
            <w:r w:rsidR="00D30DD2" w:rsidRPr="00F927F4">
              <w:rPr>
                <w:sz w:val="20"/>
                <w:szCs w:val="20"/>
                <w:lang w:val="fr-FR"/>
              </w:rPr>
              <w:t>Mise en œuvre du SGES et dép</w:t>
            </w:r>
            <w:r w:rsidR="00150929" w:rsidRPr="00F927F4">
              <w:rPr>
                <w:sz w:val="20"/>
                <w:szCs w:val="20"/>
                <w:lang w:val="fr-FR"/>
              </w:rPr>
              <w:t>loiement dans l’ensemble de la b</w:t>
            </w:r>
            <w:r w:rsidR="00D30DD2" w:rsidRPr="00F927F4">
              <w:rPr>
                <w:sz w:val="20"/>
                <w:szCs w:val="20"/>
                <w:lang w:val="fr-FR"/>
              </w:rPr>
              <w:t>anque</w:t>
            </w:r>
          </w:p>
        </w:tc>
        <w:tc>
          <w:tcPr>
            <w:tcW w:w="1701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00236A" w:rsidRPr="00F927F4" w:rsidRDefault="0000236A" w:rsidP="0000236A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232" w:type="dxa"/>
          </w:tcPr>
          <w:p w:rsidR="0000236A" w:rsidRPr="00F927F4" w:rsidRDefault="00D30DD2" w:rsidP="006E1E6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Communiquer à IFC le nombre de départements ou divisions </w:t>
            </w:r>
            <w:r w:rsidR="006E1E67" w:rsidRPr="00F927F4">
              <w:rPr>
                <w:sz w:val="20"/>
                <w:szCs w:val="20"/>
                <w:lang w:val="fr-FR"/>
              </w:rPr>
              <w:t>mettant en œuvre le SGES</w:t>
            </w:r>
          </w:p>
        </w:tc>
      </w:tr>
    </w:tbl>
    <w:p w:rsidR="004524BE" w:rsidRPr="00F927F4" w:rsidRDefault="004524BE" w:rsidP="0026105F">
      <w:pPr>
        <w:rPr>
          <w:b/>
          <w:u w:val="single"/>
          <w:lang w:val="fr-FR"/>
        </w:rPr>
      </w:pPr>
    </w:p>
    <w:p w:rsidR="0026105F" w:rsidRPr="00F927F4" w:rsidRDefault="006E1E67" w:rsidP="004C36FF">
      <w:pPr>
        <w:outlineLvl w:val="0"/>
        <w:rPr>
          <w:b/>
          <w:u w:val="single"/>
          <w:lang w:val="fr-FR"/>
        </w:rPr>
      </w:pPr>
      <w:r w:rsidRPr="00F927F4">
        <w:rPr>
          <w:b/>
          <w:u w:val="single"/>
          <w:lang w:val="fr-FR"/>
        </w:rPr>
        <w:t>5</w:t>
      </w:r>
      <w:r w:rsidRPr="00F927F4">
        <w:rPr>
          <w:b/>
          <w:u w:val="single"/>
          <w:vertAlign w:val="superscript"/>
          <w:lang w:val="fr-FR"/>
        </w:rPr>
        <w:t xml:space="preserve">e </w:t>
      </w:r>
      <w:r w:rsidRPr="00F927F4">
        <w:rPr>
          <w:b/>
          <w:u w:val="single"/>
          <w:lang w:val="fr-FR"/>
        </w:rPr>
        <w:t>étape</w:t>
      </w:r>
      <w:r w:rsidR="0026105F" w:rsidRPr="00F927F4">
        <w:rPr>
          <w:b/>
          <w:u w:val="single"/>
          <w:lang w:val="fr-FR"/>
        </w:rPr>
        <w:t>.</w:t>
      </w:r>
      <w:r w:rsidR="005241D8" w:rsidRPr="00F927F4">
        <w:rPr>
          <w:b/>
          <w:u w:val="single"/>
          <w:lang w:val="fr-FR"/>
        </w:rPr>
        <w:t xml:space="preserve"> Pr</w:t>
      </w:r>
      <w:r w:rsidRPr="00F927F4">
        <w:rPr>
          <w:b/>
          <w:u w:val="single"/>
          <w:lang w:val="fr-FR"/>
        </w:rPr>
        <w:t>é</w:t>
      </w:r>
      <w:r w:rsidR="005241D8" w:rsidRPr="00F927F4">
        <w:rPr>
          <w:b/>
          <w:u w:val="single"/>
          <w:lang w:val="fr-FR"/>
        </w:rPr>
        <w:t xml:space="preserve">paration </w:t>
      </w:r>
      <w:r w:rsidRPr="00F927F4">
        <w:rPr>
          <w:b/>
          <w:u w:val="single"/>
          <w:lang w:val="fr-FR"/>
        </w:rPr>
        <w:t>du rapport annuel</w:t>
      </w:r>
    </w:p>
    <w:p w:rsidR="0026105F" w:rsidRPr="00F927F4" w:rsidRDefault="0026105F" w:rsidP="00F75743">
      <w:pPr>
        <w:rPr>
          <w:b/>
          <w:u w:val="single"/>
          <w:lang w:val="fr-FR"/>
        </w:rPr>
      </w:pPr>
    </w:p>
    <w:tbl>
      <w:tblPr>
        <w:tblStyle w:val="TableGrid"/>
        <w:tblW w:w="1044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439"/>
        <w:gridCol w:w="1399"/>
        <w:gridCol w:w="1454"/>
        <w:gridCol w:w="1508"/>
        <w:gridCol w:w="2055"/>
      </w:tblGrid>
      <w:tr w:rsidR="00562D71" w:rsidRPr="00F927F4" w:rsidTr="00360B37">
        <w:tc>
          <w:tcPr>
            <w:tcW w:w="2610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Action</w:t>
            </w:r>
          </w:p>
        </w:tc>
        <w:tc>
          <w:tcPr>
            <w:tcW w:w="1384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 xml:space="preserve">Personne(s) responsable(s) </w:t>
            </w:r>
          </w:p>
        </w:tc>
        <w:tc>
          <w:tcPr>
            <w:tcW w:w="1406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Date de démarrage prévue</w:t>
            </w:r>
          </w:p>
        </w:tc>
        <w:tc>
          <w:tcPr>
            <w:tcW w:w="1455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Date d’achèvement prévue</w:t>
            </w:r>
          </w:p>
        </w:tc>
        <w:tc>
          <w:tcPr>
            <w:tcW w:w="1515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Résultat à produire</w:t>
            </w:r>
          </w:p>
        </w:tc>
        <w:tc>
          <w:tcPr>
            <w:tcW w:w="2070" w:type="dxa"/>
          </w:tcPr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  <w:r w:rsidRPr="00F927F4">
              <w:rPr>
                <w:b/>
                <w:sz w:val="20"/>
                <w:szCs w:val="20"/>
                <w:lang w:val="fr-FR"/>
              </w:rPr>
              <w:t>Indication d’achèvement</w:t>
            </w:r>
          </w:p>
          <w:p w:rsidR="00CE2C64" w:rsidRPr="00F927F4" w:rsidRDefault="00CE2C64" w:rsidP="00D40159">
            <w:pPr>
              <w:pStyle w:val="ListParagraph"/>
              <w:ind w:left="0"/>
              <w:rPr>
                <w:b/>
                <w:sz w:val="20"/>
                <w:szCs w:val="20"/>
                <w:lang w:val="fr-FR"/>
              </w:rPr>
            </w:pPr>
          </w:p>
        </w:tc>
      </w:tr>
      <w:tr w:rsidR="00562D71" w:rsidRPr="00F927F4" w:rsidTr="00360B37">
        <w:trPr>
          <w:trHeight w:val="980"/>
        </w:trPr>
        <w:tc>
          <w:tcPr>
            <w:tcW w:w="2610" w:type="dxa"/>
          </w:tcPr>
          <w:p w:rsidR="00AF6EB0" w:rsidRPr="00F927F4" w:rsidRDefault="00F62CB2" w:rsidP="0015092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5.1 </w:t>
            </w:r>
            <w:r w:rsidR="006E1E67" w:rsidRPr="00F927F4">
              <w:rPr>
                <w:sz w:val="20"/>
                <w:szCs w:val="20"/>
                <w:lang w:val="fr-FR"/>
              </w:rPr>
              <w:t>Compléter le formulaire du rapport annuel de performance environnementale (</w:t>
            </w:r>
            <w:r w:rsidR="00150929" w:rsidRPr="00F927F4">
              <w:rPr>
                <w:sz w:val="20"/>
                <w:szCs w:val="20"/>
                <w:lang w:val="fr-FR"/>
              </w:rPr>
              <w:t>AEPR</w:t>
            </w:r>
            <w:r w:rsidR="006E1E67" w:rsidRPr="00F927F4">
              <w:rPr>
                <w:sz w:val="20"/>
                <w:szCs w:val="20"/>
                <w:lang w:val="fr-FR"/>
              </w:rPr>
              <w:t>) fourni par IFC</w:t>
            </w:r>
          </w:p>
        </w:tc>
        <w:tc>
          <w:tcPr>
            <w:tcW w:w="1384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6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55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</w:tcPr>
          <w:p w:rsidR="00AF6EB0" w:rsidRPr="00F927F4" w:rsidRDefault="00150929" w:rsidP="0015092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AEPR</w:t>
            </w:r>
            <w:r w:rsidR="006E1E67" w:rsidRPr="00F927F4">
              <w:rPr>
                <w:sz w:val="20"/>
                <w:szCs w:val="20"/>
                <w:lang w:val="fr-FR"/>
              </w:rPr>
              <w:t xml:space="preserve"> complété</w:t>
            </w:r>
          </w:p>
        </w:tc>
        <w:tc>
          <w:tcPr>
            <w:tcW w:w="2070" w:type="dxa"/>
          </w:tcPr>
          <w:p w:rsidR="00AF6EB0" w:rsidRPr="00F927F4" w:rsidRDefault="006E1E67" w:rsidP="0015092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Fournir à IFC l</w:t>
            </w:r>
            <w:r w:rsidR="00150929" w:rsidRPr="00F927F4">
              <w:rPr>
                <w:sz w:val="20"/>
                <w:szCs w:val="20"/>
                <w:lang w:val="fr-FR"/>
              </w:rPr>
              <w:t xml:space="preserve">’AEPR </w:t>
            </w:r>
            <w:r w:rsidRPr="00F927F4">
              <w:rPr>
                <w:sz w:val="20"/>
                <w:szCs w:val="20"/>
                <w:lang w:val="fr-FR"/>
              </w:rPr>
              <w:t>complété</w:t>
            </w:r>
          </w:p>
        </w:tc>
      </w:tr>
      <w:tr w:rsidR="00562D71" w:rsidRPr="00F927F4" w:rsidTr="00360B37">
        <w:trPr>
          <w:trHeight w:val="980"/>
        </w:trPr>
        <w:tc>
          <w:tcPr>
            <w:tcW w:w="2610" w:type="dxa"/>
          </w:tcPr>
          <w:p w:rsidR="00AF6EB0" w:rsidRPr="00F927F4" w:rsidRDefault="00F62CB2" w:rsidP="006E1E6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5.2 Pr</w:t>
            </w:r>
            <w:r w:rsidR="006E1E67" w:rsidRPr="00F927F4">
              <w:rPr>
                <w:sz w:val="20"/>
                <w:szCs w:val="20"/>
                <w:lang w:val="fr-FR"/>
              </w:rPr>
              <w:t>éparer des informations sur le portefeuille, en indiquant la répartition par secteur d’activité et par catégorie de risque environnemental</w:t>
            </w:r>
            <w:r w:rsidR="00B44D61" w:rsidRPr="00F927F4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84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6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55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</w:tcPr>
          <w:p w:rsidR="00AF6EB0" w:rsidRPr="00F927F4" w:rsidRDefault="006E1E67" w:rsidP="006E1E67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I</w:t>
            </w:r>
            <w:r w:rsidR="00751147" w:rsidRPr="00F927F4">
              <w:rPr>
                <w:sz w:val="20"/>
                <w:szCs w:val="20"/>
                <w:lang w:val="fr-FR"/>
              </w:rPr>
              <w:t>nformation</w:t>
            </w:r>
            <w:r w:rsidRPr="00F927F4">
              <w:rPr>
                <w:sz w:val="20"/>
                <w:szCs w:val="20"/>
                <w:lang w:val="fr-FR"/>
              </w:rPr>
              <w:t>s sur le portefeuille</w:t>
            </w:r>
          </w:p>
        </w:tc>
        <w:tc>
          <w:tcPr>
            <w:tcW w:w="2070" w:type="dxa"/>
          </w:tcPr>
          <w:p w:rsidR="00AF6EB0" w:rsidRPr="00F927F4" w:rsidRDefault="006E1E67" w:rsidP="00150929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>Informations sur le portefeuille à inclure dans l</w:t>
            </w:r>
            <w:r w:rsidR="00150929" w:rsidRPr="00F927F4">
              <w:rPr>
                <w:sz w:val="20"/>
                <w:szCs w:val="20"/>
                <w:lang w:val="fr-FR"/>
              </w:rPr>
              <w:t>’AEPR</w:t>
            </w:r>
          </w:p>
        </w:tc>
      </w:tr>
      <w:tr w:rsidR="00562D71" w:rsidRPr="00F927F4" w:rsidTr="00360B37">
        <w:tc>
          <w:tcPr>
            <w:tcW w:w="2610" w:type="dxa"/>
          </w:tcPr>
          <w:p w:rsidR="00AF6EB0" w:rsidRPr="00F927F4" w:rsidRDefault="00C716E9" w:rsidP="00C07F3B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5.3 </w:t>
            </w:r>
            <w:r w:rsidR="006E1E67" w:rsidRPr="00F927F4">
              <w:rPr>
                <w:sz w:val="20"/>
                <w:szCs w:val="20"/>
                <w:lang w:val="fr-FR"/>
              </w:rPr>
              <w:t xml:space="preserve">Donner des exemples de </w:t>
            </w:r>
            <w:r w:rsidR="00562D71" w:rsidRPr="00F927F4">
              <w:rPr>
                <w:sz w:val="20"/>
                <w:szCs w:val="20"/>
                <w:lang w:val="fr-FR"/>
              </w:rPr>
              <w:t xml:space="preserve">procédures de diligence raisonnable </w:t>
            </w:r>
            <w:r w:rsidR="00C07F3B">
              <w:rPr>
                <w:sz w:val="20"/>
                <w:szCs w:val="20"/>
                <w:lang w:val="fr-FR"/>
              </w:rPr>
              <w:t xml:space="preserve">menées </w:t>
            </w:r>
            <w:r w:rsidR="00562D71" w:rsidRPr="00F927F4">
              <w:rPr>
                <w:sz w:val="20"/>
                <w:szCs w:val="20"/>
                <w:lang w:val="fr-FR"/>
              </w:rPr>
              <w:t>pour 3 </w:t>
            </w:r>
            <w:r w:rsidR="00F56848" w:rsidRPr="00F927F4">
              <w:rPr>
                <w:sz w:val="20"/>
                <w:szCs w:val="20"/>
                <w:lang w:val="fr-FR"/>
              </w:rPr>
              <w:t xml:space="preserve">investissements à risque </w:t>
            </w:r>
            <w:r w:rsidR="006D3680" w:rsidRPr="00F927F4">
              <w:rPr>
                <w:sz w:val="20"/>
                <w:szCs w:val="20"/>
                <w:lang w:val="fr-FR"/>
              </w:rPr>
              <w:t xml:space="preserve">élevé </w:t>
            </w:r>
            <w:r w:rsidR="00F56848" w:rsidRPr="00F927F4">
              <w:rPr>
                <w:sz w:val="20"/>
                <w:szCs w:val="20"/>
                <w:lang w:val="fr-FR"/>
              </w:rPr>
              <w:t xml:space="preserve">et </w:t>
            </w:r>
            <w:r w:rsidR="00562D71" w:rsidRPr="00F927F4">
              <w:rPr>
                <w:sz w:val="20"/>
                <w:szCs w:val="20"/>
                <w:lang w:val="fr-FR"/>
              </w:rPr>
              <w:t>3 </w:t>
            </w:r>
            <w:r w:rsidR="00F56848" w:rsidRPr="00F927F4">
              <w:rPr>
                <w:sz w:val="20"/>
                <w:szCs w:val="20"/>
                <w:lang w:val="fr-FR"/>
              </w:rPr>
              <w:t>investissements à risque moyen</w:t>
            </w:r>
            <w:r w:rsidR="00562D71" w:rsidRPr="00F927F4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384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06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455" w:type="dxa"/>
          </w:tcPr>
          <w:p w:rsidR="00AF6EB0" w:rsidRPr="00F927F4" w:rsidRDefault="00AF6EB0" w:rsidP="00EB0934">
            <w:pPr>
              <w:pStyle w:val="ListParagraph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1515" w:type="dxa"/>
          </w:tcPr>
          <w:p w:rsidR="00AF6EB0" w:rsidRPr="00F927F4" w:rsidRDefault="00562D71" w:rsidP="00C07F3B">
            <w:pPr>
              <w:pStyle w:val="ListParagraph"/>
              <w:ind w:left="0"/>
              <w:rPr>
                <w:sz w:val="20"/>
                <w:szCs w:val="20"/>
                <w:highlight w:val="yellow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Exemples de procédures de diligence raisonnable </w:t>
            </w:r>
            <w:r w:rsidR="00C07F3B">
              <w:rPr>
                <w:sz w:val="20"/>
                <w:szCs w:val="20"/>
                <w:lang w:val="fr-FR"/>
              </w:rPr>
              <w:t>menées</w:t>
            </w:r>
            <w:r w:rsidRPr="00F927F4">
              <w:rPr>
                <w:sz w:val="20"/>
                <w:szCs w:val="20"/>
                <w:lang w:val="fr-FR"/>
              </w:rPr>
              <w:t xml:space="preserve"> pour des clients à risques élevé et moyen</w:t>
            </w:r>
          </w:p>
        </w:tc>
        <w:tc>
          <w:tcPr>
            <w:tcW w:w="2070" w:type="dxa"/>
          </w:tcPr>
          <w:p w:rsidR="00AF6EB0" w:rsidRPr="00F927F4" w:rsidRDefault="00562D71" w:rsidP="00C07F3B">
            <w:pPr>
              <w:pStyle w:val="ListParagraph"/>
              <w:ind w:left="0"/>
              <w:rPr>
                <w:sz w:val="20"/>
                <w:szCs w:val="20"/>
                <w:highlight w:val="yellow"/>
                <w:lang w:val="fr-FR"/>
              </w:rPr>
            </w:pPr>
            <w:r w:rsidRPr="00F927F4">
              <w:rPr>
                <w:sz w:val="20"/>
                <w:szCs w:val="20"/>
                <w:lang w:val="fr-FR"/>
              </w:rPr>
              <w:t xml:space="preserve">Fournir des exemples de procédures de diligence raisonnable </w:t>
            </w:r>
            <w:r w:rsidR="00C07F3B">
              <w:rPr>
                <w:sz w:val="20"/>
                <w:szCs w:val="20"/>
                <w:lang w:val="fr-FR"/>
              </w:rPr>
              <w:t>menées</w:t>
            </w:r>
            <w:r w:rsidRPr="00F927F4">
              <w:rPr>
                <w:sz w:val="20"/>
                <w:szCs w:val="20"/>
                <w:lang w:val="fr-FR"/>
              </w:rPr>
              <w:t xml:space="preserve"> pour des investissements à risques élevé et moyen</w:t>
            </w:r>
            <w:r w:rsidRPr="00F927F4">
              <w:rPr>
                <w:sz w:val="20"/>
                <w:szCs w:val="20"/>
                <w:highlight w:val="yellow"/>
                <w:lang w:val="fr-FR"/>
              </w:rPr>
              <w:t xml:space="preserve"> </w:t>
            </w:r>
            <w:r w:rsidRPr="00F927F4">
              <w:rPr>
                <w:sz w:val="20"/>
                <w:szCs w:val="20"/>
                <w:lang w:val="fr-FR"/>
              </w:rPr>
              <w:t>figurant dans l’AEPR</w:t>
            </w:r>
          </w:p>
        </w:tc>
      </w:tr>
    </w:tbl>
    <w:p w:rsidR="0026105F" w:rsidRPr="00F927F4" w:rsidRDefault="0026105F" w:rsidP="00F75743">
      <w:pPr>
        <w:rPr>
          <w:b/>
          <w:u w:val="single"/>
          <w:lang w:val="fr-FR"/>
        </w:rPr>
      </w:pPr>
    </w:p>
    <w:sectPr w:rsidR="0026105F" w:rsidRPr="00F927F4" w:rsidSect="00F7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9ED"/>
    <w:multiLevelType w:val="hybridMultilevel"/>
    <w:tmpl w:val="20AC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410B"/>
    <w:multiLevelType w:val="hybridMultilevel"/>
    <w:tmpl w:val="701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6ED2"/>
    <w:multiLevelType w:val="hybridMultilevel"/>
    <w:tmpl w:val="C7DC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8"/>
    <w:rsid w:val="0000236A"/>
    <w:rsid w:val="00013DB3"/>
    <w:rsid w:val="00022500"/>
    <w:rsid w:val="000C795A"/>
    <w:rsid w:val="00102A5A"/>
    <w:rsid w:val="0011162B"/>
    <w:rsid w:val="00150929"/>
    <w:rsid w:val="00156E69"/>
    <w:rsid w:val="00171B13"/>
    <w:rsid w:val="00180EE1"/>
    <w:rsid w:val="001A3490"/>
    <w:rsid w:val="00207CFF"/>
    <w:rsid w:val="00215484"/>
    <w:rsid w:val="00227F98"/>
    <w:rsid w:val="0023331E"/>
    <w:rsid w:val="00240D6D"/>
    <w:rsid w:val="00241702"/>
    <w:rsid w:val="0026105F"/>
    <w:rsid w:val="00275458"/>
    <w:rsid w:val="0029272C"/>
    <w:rsid w:val="002A06A9"/>
    <w:rsid w:val="002A5DCE"/>
    <w:rsid w:val="002B3D8E"/>
    <w:rsid w:val="002E7213"/>
    <w:rsid w:val="00330FEC"/>
    <w:rsid w:val="00336D85"/>
    <w:rsid w:val="00351350"/>
    <w:rsid w:val="003578C3"/>
    <w:rsid w:val="00360B37"/>
    <w:rsid w:val="00375C13"/>
    <w:rsid w:val="00377540"/>
    <w:rsid w:val="003820F3"/>
    <w:rsid w:val="003A7925"/>
    <w:rsid w:val="003B6F63"/>
    <w:rsid w:val="003E10A8"/>
    <w:rsid w:val="003E393E"/>
    <w:rsid w:val="003F06C5"/>
    <w:rsid w:val="00430083"/>
    <w:rsid w:val="00435AF8"/>
    <w:rsid w:val="00442A7A"/>
    <w:rsid w:val="004524BE"/>
    <w:rsid w:val="00455DCD"/>
    <w:rsid w:val="00475A4A"/>
    <w:rsid w:val="0048328C"/>
    <w:rsid w:val="00483D32"/>
    <w:rsid w:val="004A393C"/>
    <w:rsid w:val="004A5F7C"/>
    <w:rsid w:val="004C36FF"/>
    <w:rsid w:val="004D6286"/>
    <w:rsid w:val="005141E7"/>
    <w:rsid w:val="005241D8"/>
    <w:rsid w:val="00536687"/>
    <w:rsid w:val="00553704"/>
    <w:rsid w:val="00555C0D"/>
    <w:rsid w:val="0056095A"/>
    <w:rsid w:val="00562D71"/>
    <w:rsid w:val="0057255E"/>
    <w:rsid w:val="00576058"/>
    <w:rsid w:val="005A451D"/>
    <w:rsid w:val="005B3886"/>
    <w:rsid w:val="005C2CE9"/>
    <w:rsid w:val="005C36C9"/>
    <w:rsid w:val="006054A0"/>
    <w:rsid w:val="00623CE1"/>
    <w:rsid w:val="006A7CB2"/>
    <w:rsid w:val="006C7CDE"/>
    <w:rsid w:val="006D3680"/>
    <w:rsid w:val="006E1E67"/>
    <w:rsid w:val="00727777"/>
    <w:rsid w:val="00745002"/>
    <w:rsid w:val="00751147"/>
    <w:rsid w:val="00771833"/>
    <w:rsid w:val="00782201"/>
    <w:rsid w:val="007A40CD"/>
    <w:rsid w:val="007A5D5A"/>
    <w:rsid w:val="007C107D"/>
    <w:rsid w:val="007C1F37"/>
    <w:rsid w:val="007D53BD"/>
    <w:rsid w:val="008322CB"/>
    <w:rsid w:val="008A47B7"/>
    <w:rsid w:val="008B56B0"/>
    <w:rsid w:val="008C1DF0"/>
    <w:rsid w:val="008D50C8"/>
    <w:rsid w:val="008F6FD1"/>
    <w:rsid w:val="00917D24"/>
    <w:rsid w:val="00930F32"/>
    <w:rsid w:val="00943773"/>
    <w:rsid w:val="00961486"/>
    <w:rsid w:val="00971965"/>
    <w:rsid w:val="009733B1"/>
    <w:rsid w:val="009B1ABF"/>
    <w:rsid w:val="009D5D83"/>
    <w:rsid w:val="00A0543E"/>
    <w:rsid w:val="00A127E7"/>
    <w:rsid w:val="00AD7842"/>
    <w:rsid w:val="00AE45B6"/>
    <w:rsid w:val="00AF6EB0"/>
    <w:rsid w:val="00B11A55"/>
    <w:rsid w:val="00B17FF3"/>
    <w:rsid w:val="00B41011"/>
    <w:rsid w:val="00B41770"/>
    <w:rsid w:val="00B44D61"/>
    <w:rsid w:val="00B530DA"/>
    <w:rsid w:val="00B61BD6"/>
    <w:rsid w:val="00B81789"/>
    <w:rsid w:val="00BB62AE"/>
    <w:rsid w:val="00BD58BF"/>
    <w:rsid w:val="00C0123E"/>
    <w:rsid w:val="00C07F3B"/>
    <w:rsid w:val="00C5564B"/>
    <w:rsid w:val="00C5772F"/>
    <w:rsid w:val="00C716E9"/>
    <w:rsid w:val="00C95CFD"/>
    <w:rsid w:val="00CC6845"/>
    <w:rsid w:val="00CD43FA"/>
    <w:rsid w:val="00CE2C64"/>
    <w:rsid w:val="00CF3082"/>
    <w:rsid w:val="00D30DD2"/>
    <w:rsid w:val="00D40159"/>
    <w:rsid w:val="00D56FF5"/>
    <w:rsid w:val="00D81BF6"/>
    <w:rsid w:val="00D91752"/>
    <w:rsid w:val="00DB789B"/>
    <w:rsid w:val="00DE5808"/>
    <w:rsid w:val="00E01D07"/>
    <w:rsid w:val="00E12BE9"/>
    <w:rsid w:val="00E14FE5"/>
    <w:rsid w:val="00E24868"/>
    <w:rsid w:val="00E422B3"/>
    <w:rsid w:val="00E46C04"/>
    <w:rsid w:val="00E67398"/>
    <w:rsid w:val="00E82B0A"/>
    <w:rsid w:val="00EA7FF0"/>
    <w:rsid w:val="00EB0934"/>
    <w:rsid w:val="00EF096D"/>
    <w:rsid w:val="00F36C46"/>
    <w:rsid w:val="00F46120"/>
    <w:rsid w:val="00F56848"/>
    <w:rsid w:val="00F57005"/>
    <w:rsid w:val="00F62CB2"/>
    <w:rsid w:val="00F64DC6"/>
    <w:rsid w:val="00F73AD7"/>
    <w:rsid w:val="00F75743"/>
    <w:rsid w:val="00F913C9"/>
    <w:rsid w:val="00F927F4"/>
    <w:rsid w:val="00FA1B1B"/>
    <w:rsid w:val="00FB56F3"/>
    <w:rsid w:val="00FC7DF1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C9"/>
    <w:pPr>
      <w:ind w:left="720"/>
      <w:contextualSpacing/>
    </w:pPr>
  </w:style>
  <w:style w:type="table" w:styleId="TableGrid">
    <w:name w:val="Table Grid"/>
    <w:basedOn w:val="TableNormal"/>
    <w:uiPriority w:val="59"/>
    <w:rsid w:val="005C36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36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C9"/>
    <w:pPr>
      <w:ind w:left="720"/>
      <w:contextualSpacing/>
    </w:pPr>
  </w:style>
  <w:style w:type="table" w:styleId="TableGrid">
    <w:name w:val="Table Grid"/>
    <w:basedOn w:val="TableNormal"/>
    <w:uiPriority w:val="59"/>
    <w:rsid w:val="005C36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36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SKrainak</dc:creator>
  <cp:lastModifiedBy>Raffaella Marinucci</cp:lastModifiedBy>
  <cp:revision>2</cp:revision>
  <cp:lastPrinted>2010-07-23T18:55:00Z</cp:lastPrinted>
  <dcterms:created xsi:type="dcterms:W3CDTF">2014-11-18T05:49:00Z</dcterms:created>
  <dcterms:modified xsi:type="dcterms:W3CDTF">2014-11-18T05:49:00Z</dcterms:modified>
</cp:coreProperties>
</file>